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734" w:rsidRPr="00892409" w:rsidRDefault="000B0734" w:rsidP="00892409">
      <w:pPr>
        <w:spacing w:after="0"/>
        <w:rPr>
          <w:rFonts w:cs="Arial"/>
          <w:b/>
        </w:rPr>
      </w:pPr>
    </w:p>
    <w:p w:rsidR="0051682E" w:rsidRPr="00892409" w:rsidRDefault="00892409" w:rsidP="00892409">
      <w:pPr>
        <w:spacing w:after="120"/>
        <w:rPr>
          <w:rFonts w:cs="Arial"/>
          <w:i/>
        </w:rPr>
      </w:pPr>
      <w:r w:rsidRPr="00892409">
        <w:rPr>
          <w:rFonts w:cs="Arial"/>
          <w:b/>
        </w:rPr>
        <w:t>Title and Focus of Activity:</w:t>
      </w:r>
      <w:r>
        <w:rPr>
          <w:rFonts w:cs="Arial"/>
        </w:rPr>
        <w:tab/>
      </w:r>
      <w:r w:rsidR="00364590" w:rsidRPr="00892409">
        <w:rPr>
          <w:rFonts w:cs="Arial"/>
          <w:u w:val="single"/>
        </w:rPr>
        <w:t>Infant Development Day</w:t>
      </w:r>
      <w:r w:rsidR="00606FBA" w:rsidRPr="00892409">
        <w:rPr>
          <w:rFonts w:cs="Arial"/>
          <w:u w:val="single"/>
        </w:rPr>
        <w:t xml:space="preserve">: </w:t>
      </w:r>
      <w:proofErr w:type="spellStart"/>
      <w:r w:rsidR="00F01211" w:rsidRPr="00892409">
        <w:rPr>
          <w:rFonts w:cs="Arial"/>
          <w:u w:val="single"/>
        </w:rPr>
        <w:t>I</w:t>
      </w:r>
      <w:r w:rsidR="00606FBA" w:rsidRPr="00892409">
        <w:rPr>
          <w:rFonts w:cs="Arial"/>
          <w:u w:val="single"/>
        </w:rPr>
        <w:t>nterprofessional</w:t>
      </w:r>
      <w:proofErr w:type="spellEnd"/>
      <w:r w:rsidR="00606FBA" w:rsidRPr="00892409">
        <w:rPr>
          <w:rFonts w:cs="Arial"/>
          <w:u w:val="single"/>
        </w:rPr>
        <w:t xml:space="preserve"> </w:t>
      </w:r>
      <w:r w:rsidR="00F01211" w:rsidRPr="00892409">
        <w:rPr>
          <w:rFonts w:cs="Arial"/>
          <w:u w:val="single"/>
        </w:rPr>
        <w:t>L</w:t>
      </w:r>
      <w:r w:rsidR="00606FBA" w:rsidRPr="00892409">
        <w:rPr>
          <w:rFonts w:cs="Arial"/>
          <w:u w:val="single"/>
        </w:rPr>
        <w:t xml:space="preserve">earning </w:t>
      </w:r>
      <w:r w:rsidR="00F01211" w:rsidRPr="00892409">
        <w:rPr>
          <w:rFonts w:cs="Arial"/>
          <w:u w:val="single"/>
        </w:rPr>
        <w:t>Experience</w:t>
      </w:r>
      <w:r>
        <w:rPr>
          <w:rFonts w:cs="Arial"/>
        </w:rPr>
        <w:t xml:space="preserve"> </w:t>
      </w:r>
      <w:r w:rsidRPr="00892409">
        <w:rPr>
          <w:rFonts w:cs="Arial"/>
          <w:i/>
        </w:rPr>
        <w:t xml:space="preserve">Examination; </w:t>
      </w:r>
      <w:proofErr w:type="spellStart"/>
      <w:r w:rsidRPr="00892409">
        <w:rPr>
          <w:rFonts w:cs="Arial"/>
          <w:i/>
        </w:rPr>
        <w:t>Interprofessional</w:t>
      </w:r>
      <w:proofErr w:type="spellEnd"/>
      <w:r w:rsidRPr="00892409">
        <w:rPr>
          <w:rFonts w:cs="Arial"/>
          <w:i/>
        </w:rPr>
        <w:t xml:space="preserve"> Education</w:t>
      </w:r>
    </w:p>
    <w:p w:rsidR="0051682E" w:rsidRPr="00892409" w:rsidRDefault="0051682E" w:rsidP="00892409">
      <w:pPr>
        <w:pStyle w:val="ListParagraph"/>
        <w:spacing w:after="120"/>
        <w:ind w:left="360"/>
        <w:rPr>
          <w:rFonts w:cs="Arial"/>
        </w:rPr>
      </w:pPr>
    </w:p>
    <w:p w:rsidR="0051682E" w:rsidRPr="00892409" w:rsidRDefault="00892409" w:rsidP="00892409">
      <w:pPr>
        <w:spacing w:after="120"/>
        <w:rPr>
          <w:rFonts w:cs="Arial"/>
        </w:rPr>
      </w:pPr>
      <w:r w:rsidRPr="00892409">
        <w:rPr>
          <w:rFonts w:cs="Arial"/>
          <w:b/>
        </w:rPr>
        <w:t>Contributor(s)</w:t>
      </w:r>
      <w:r w:rsidR="0051682E" w:rsidRPr="00892409">
        <w:rPr>
          <w:rFonts w:cs="Arial"/>
          <w:b/>
        </w:rPr>
        <w:t>:</w:t>
      </w:r>
      <w:r w:rsidR="000B0734" w:rsidRPr="00892409">
        <w:rPr>
          <w:rFonts w:cs="Arial"/>
          <w:b/>
        </w:rPr>
        <w:t xml:space="preserve"> </w:t>
      </w:r>
      <w:r w:rsidRPr="00892409">
        <w:rPr>
          <w:rFonts w:cs="Arial"/>
          <w:b/>
        </w:rPr>
        <w:tab/>
      </w:r>
      <w:r>
        <w:rPr>
          <w:rFonts w:cs="Arial"/>
        </w:rPr>
        <w:tab/>
      </w:r>
      <w:r w:rsidR="00364590" w:rsidRPr="00892409">
        <w:rPr>
          <w:rFonts w:cs="Arial"/>
        </w:rPr>
        <w:t>Laur</w:t>
      </w:r>
      <w:r w:rsidR="002F31F4" w:rsidRPr="00892409">
        <w:rPr>
          <w:rFonts w:cs="Arial"/>
        </w:rPr>
        <w:t xml:space="preserve">a Plummer, PT, DPT, MS, NCS, </w:t>
      </w:r>
      <w:r w:rsidR="00364590" w:rsidRPr="00892409">
        <w:rPr>
          <w:rFonts w:cs="Arial"/>
        </w:rPr>
        <w:t>Anne McCarthy Jacobson, PT, DPT, MS</w:t>
      </w:r>
      <w:r w:rsidR="006C479E" w:rsidRPr="00892409">
        <w:rPr>
          <w:rFonts w:cs="Arial"/>
        </w:rPr>
        <w:t>, Elise Townsend, PT, PhD, DPT, PCS, Pat Reidy, DNP, FNP-BC,  Jennifer Mackey, CC-SLP, Andrea Fairman, PhD, OTR/L, CPRP, Lisa Walker, PA-C, MPAS</w:t>
      </w:r>
      <w:r w:rsidR="009743E2" w:rsidRPr="00892409">
        <w:rPr>
          <w:rFonts w:cs="Arial"/>
        </w:rPr>
        <w:t>, Mary Hildebrand</w:t>
      </w:r>
      <w:r w:rsidR="009B458C" w:rsidRPr="00892409">
        <w:rPr>
          <w:rFonts w:cs="Arial"/>
        </w:rPr>
        <w:t>, OTD, OTR/L</w:t>
      </w:r>
      <w:r w:rsidR="00C4366A" w:rsidRPr="00892409">
        <w:rPr>
          <w:rFonts w:cs="Arial"/>
        </w:rPr>
        <w:t xml:space="preserve">. Contact person: Laura Plummer </w:t>
      </w:r>
      <w:hyperlink r:id="rId8" w:history="1">
        <w:r w:rsidRPr="009F6299">
          <w:rPr>
            <w:rStyle w:val="Hyperlink"/>
            <w:rFonts w:cs="Arial"/>
          </w:rPr>
          <w:t>lplummer@mghihp.edu</w:t>
        </w:r>
      </w:hyperlink>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364590" w:rsidRPr="00892409">
        <w:rPr>
          <w:rFonts w:cs="Arial"/>
        </w:rPr>
        <w:t>MGH Institute of Health Professions</w:t>
      </w:r>
    </w:p>
    <w:p w:rsidR="0051682E" w:rsidRPr="00892409" w:rsidRDefault="0051682E" w:rsidP="00892409">
      <w:pPr>
        <w:pStyle w:val="ListParagraph"/>
        <w:spacing w:after="120"/>
        <w:ind w:left="360"/>
        <w:rPr>
          <w:rFonts w:cs="Arial"/>
        </w:rPr>
      </w:pPr>
    </w:p>
    <w:p w:rsidR="0051682E" w:rsidRDefault="0051682E" w:rsidP="00892409">
      <w:pPr>
        <w:spacing w:after="120"/>
        <w:rPr>
          <w:rFonts w:cs="Arial"/>
          <w:bCs/>
          <w:spacing w:val="-3"/>
        </w:rPr>
      </w:pPr>
      <w:r w:rsidRPr="00892409">
        <w:rPr>
          <w:rFonts w:cs="Arial"/>
          <w:b/>
        </w:rPr>
        <w:t xml:space="preserve">Course </w:t>
      </w:r>
      <w:r w:rsidR="00892409" w:rsidRPr="00892409">
        <w:rPr>
          <w:rFonts w:cs="Arial"/>
          <w:b/>
        </w:rPr>
        <w:t>Information</w:t>
      </w:r>
      <w:r w:rsidRPr="00892409">
        <w:rPr>
          <w:rFonts w:cs="Arial"/>
          <w:b/>
        </w:rPr>
        <w:t>:</w:t>
      </w:r>
      <w:r w:rsidR="000B0734" w:rsidRPr="00892409">
        <w:rPr>
          <w:rFonts w:cs="Arial"/>
        </w:rPr>
        <w:t xml:space="preserve"> </w:t>
      </w:r>
      <w:r w:rsidR="00364590" w:rsidRPr="00892409">
        <w:rPr>
          <w:rFonts w:cs="Arial"/>
          <w:bCs/>
          <w:spacing w:val="-3"/>
        </w:rPr>
        <w:t>Clinical Management</w:t>
      </w:r>
      <w:r w:rsidR="00364590" w:rsidRPr="00892409">
        <w:rPr>
          <w:rFonts w:cs="Arial"/>
          <w:spacing w:val="-3"/>
        </w:rPr>
        <w:t xml:space="preserve"> </w:t>
      </w:r>
      <w:r w:rsidR="00892409" w:rsidRPr="00892409">
        <w:rPr>
          <w:rFonts w:cs="Arial"/>
          <w:spacing w:val="-3"/>
        </w:rPr>
        <w:t>of</w:t>
      </w:r>
      <w:r w:rsidR="00364590" w:rsidRPr="00892409">
        <w:rPr>
          <w:rFonts w:cs="Arial"/>
          <w:spacing w:val="-3"/>
        </w:rPr>
        <w:t xml:space="preserve"> Neuromuscular Disorders</w:t>
      </w:r>
      <w:r w:rsidR="00892409">
        <w:rPr>
          <w:rFonts w:cs="Arial"/>
          <w:spacing w:val="-3"/>
        </w:rPr>
        <w:t>; 6 credits;</w:t>
      </w:r>
      <w:r w:rsidR="00892409" w:rsidRPr="00892409">
        <w:rPr>
          <w:rFonts w:cs="Arial"/>
          <w:bCs/>
          <w:spacing w:val="-3"/>
        </w:rPr>
        <w:t xml:space="preserve"> (occupational therapy (OT), physician’s assistant (PA), nurse practitioner (NP) and communication science disorders (CSD) students are enrolled in their respective courses).</w:t>
      </w:r>
      <w:r w:rsidR="00364590" w:rsidRPr="00892409">
        <w:rPr>
          <w:rFonts w:cs="Arial"/>
          <w:spacing w:val="-3"/>
        </w:rPr>
        <w:t xml:space="preserve"> </w:t>
      </w:r>
      <w:r w:rsidR="00892409" w:rsidRPr="00892409">
        <w:rPr>
          <w:rFonts w:cs="Arial"/>
        </w:rPr>
        <w:t xml:space="preserve">Fall semester of year 2 (PT, OT, NP), </w:t>
      </w:r>
      <w:proofErr w:type="gramStart"/>
      <w:r w:rsidR="00892409" w:rsidRPr="00892409">
        <w:rPr>
          <w:rFonts w:cs="Arial"/>
        </w:rPr>
        <w:t>Fall</w:t>
      </w:r>
      <w:proofErr w:type="gramEnd"/>
      <w:r w:rsidR="00892409" w:rsidRPr="00892409">
        <w:rPr>
          <w:rFonts w:cs="Arial"/>
        </w:rPr>
        <w:t xml:space="preserve"> year 1 (PA, CSD)</w:t>
      </w:r>
      <w:r w:rsidR="00D521F0" w:rsidRPr="00892409">
        <w:rPr>
          <w:rFonts w:cs="Arial"/>
          <w:spacing w:val="-3"/>
        </w:rPr>
        <w:fldChar w:fldCharType="begin"/>
      </w:r>
      <w:r w:rsidR="00364590" w:rsidRPr="00892409">
        <w:rPr>
          <w:rFonts w:cs="Arial"/>
          <w:spacing w:val="-3"/>
        </w:rPr>
        <w:instrText xml:space="preserve">PRIVATE </w:instrText>
      </w:r>
      <w:r w:rsidR="00D521F0" w:rsidRPr="00892409">
        <w:rPr>
          <w:rFonts w:cs="Arial"/>
          <w:spacing w:val="-3"/>
        </w:rPr>
        <w:fldChar w:fldCharType="end"/>
      </w:r>
      <w:r w:rsidR="00A61499" w:rsidRPr="00892409">
        <w:rPr>
          <w:rFonts w:cs="Arial"/>
          <w:bCs/>
          <w:spacing w:val="-3"/>
        </w:rPr>
        <w:t xml:space="preserve">. </w:t>
      </w:r>
    </w:p>
    <w:p w:rsidR="00892409" w:rsidRDefault="00892409" w:rsidP="00892409">
      <w:pPr>
        <w:spacing w:after="120"/>
        <w:rPr>
          <w:rFonts w:cs="Arial"/>
          <w:bCs/>
          <w:spacing w:val="-3"/>
        </w:rPr>
      </w:pPr>
    </w:p>
    <w:p w:rsidR="00892409" w:rsidRDefault="00892409" w:rsidP="00892409">
      <w:pPr>
        <w:pStyle w:val="ListParagraph"/>
        <w:spacing w:after="120"/>
        <w:ind w:left="0"/>
        <w:rPr>
          <w:rFonts w:cs="Arial"/>
        </w:rPr>
      </w:pPr>
      <w:r w:rsidRPr="00892409">
        <w:rPr>
          <w:rFonts w:cs="Arial"/>
          <w:b/>
          <w:bCs/>
          <w:spacing w:val="-3"/>
        </w:rPr>
        <w:t>Learning Experience Description:</w:t>
      </w:r>
      <w:r w:rsidRPr="00892409">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892409">
        <w:rPr>
          <w:rFonts w:cs="Arial"/>
        </w:rPr>
        <w:t>Infant Development Day (IDD), established by a physical therapy program within a graduate health professions school, provides an interprofessional and collaborative environment within which students from the communication sciences (CSD), occupational therapy (OT), nurse practitioner (NP), physician’s assistant (PA) and physical therapy (PT) programs work in small groups to apply their developmental assessment skills with</w:t>
      </w:r>
      <w:r w:rsidR="000A346C">
        <w:rPr>
          <w:rFonts w:cs="Arial"/>
        </w:rPr>
        <w:t xml:space="preserve"> typically-</w:t>
      </w:r>
      <w:r w:rsidRPr="00892409">
        <w:rPr>
          <w:rFonts w:cs="Arial"/>
        </w:rPr>
        <w:t xml:space="preserve">developing infants and children.  After completing didactic content for normal development, the students observe and interact with children and their caregiver(s) performing a variety of age appropriate gross motor, fine motor, language, and social emotional skills facilitated by team of interprofessional faculty (NP, PA, CSD, OT, PT). </w:t>
      </w:r>
    </w:p>
    <w:p w:rsidR="00892409" w:rsidRPr="00892409" w:rsidRDefault="00892409" w:rsidP="00892409">
      <w:pPr>
        <w:pStyle w:val="ListParagraph"/>
        <w:spacing w:after="120"/>
        <w:ind w:left="0"/>
        <w:rPr>
          <w:rFonts w:cs="Arial"/>
        </w:rPr>
      </w:pPr>
    </w:p>
    <w:p w:rsidR="00A909D1" w:rsidRPr="00892409" w:rsidRDefault="00892409" w:rsidP="004C4D0E">
      <w:pPr>
        <w:pStyle w:val="ListParagraph"/>
        <w:spacing w:after="120"/>
        <w:ind w:left="0"/>
        <w:rPr>
          <w:rFonts w:cs="Arial"/>
        </w:rPr>
      </w:pPr>
      <w:r w:rsidRPr="00892409">
        <w:rPr>
          <w:rFonts w:cs="Arial"/>
        </w:rPr>
        <w:t xml:space="preserve">Approximately two hundred students participate in IDD. The students are assigned to interprofessional groups (12 groups of 16-19 students per group from the various programs). The 12 interprofessional groups (in parallel) </w:t>
      </w:r>
      <w:r w:rsidR="004C4D0E">
        <w:rPr>
          <w:rFonts w:cs="Arial"/>
        </w:rPr>
        <w:t>each</w:t>
      </w:r>
      <w:r w:rsidRPr="00892409">
        <w:rPr>
          <w:rFonts w:cs="Arial"/>
        </w:rPr>
        <w:t xml:space="preserve"> observe </w:t>
      </w:r>
      <w:r w:rsidR="004C4D0E">
        <w:rPr>
          <w:rFonts w:cs="Arial"/>
        </w:rPr>
        <w:t>a 1-hour</w:t>
      </w:r>
      <w:r w:rsidRPr="00892409">
        <w:rPr>
          <w:rFonts w:cs="Arial"/>
        </w:rPr>
        <w:t xml:space="preserve"> informal developmental assessment of a typically developing child aged 12 weeks-</w:t>
      </w:r>
      <w:r w:rsidR="004C4D0E">
        <w:rPr>
          <w:rFonts w:cs="Arial"/>
        </w:rPr>
        <w:t>3 years</w:t>
      </w:r>
      <w:r w:rsidRPr="00892409">
        <w:rPr>
          <w:rFonts w:cs="Arial"/>
        </w:rPr>
        <w:t xml:space="preserve"> led by an interprofessional team of 2 faculty facilitators. Each group (again in parallel) then rotates to a new child to observe a second </w:t>
      </w:r>
      <w:r w:rsidR="004C4D0E">
        <w:rPr>
          <w:rFonts w:cs="Arial"/>
        </w:rPr>
        <w:t xml:space="preserve">1-hour </w:t>
      </w:r>
      <w:r w:rsidRPr="00892409">
        <w:rPr>
          <w:rFonts w:cs="Arial"/>
        </w:rPr>
        <w:t xml:space="preserve">assessment facilitated by faculty from 2 professions </w:t>
      </w:r>
      <w:r w:rsidR="004C4D0E" w:rsidRPr="00892409">
        <w:rPr>
          <w:rFonts w:cs="Arial"/>
        </w:rPr>
        <w:t xml:space="preserve">different </w:t>
      </w:r>
      <w:r w:rsidR="004C4D0E">
        <w:rPr>
          <w:rFonts w:cs="Arial"/>
        </w:rPr>
        <w:t>from</w:t>
      </w:r>
      <w:r w:rsidRPr="00892409">
        <w:rPr>
          <w:rFonts w:cs="Arial"/>
        </w:rPr>
        <w:t xml:space="preserve"> the gr</w:t>
      </w:r>
      <w:r w:rsidR="004C4D0E">
        <w:rPr>
          <w:rFonts w:cs="Arial"/>
        </w:rPr>
        <w:t>oup’s first faculty</w:t>
      </w:r>
      <w:r w:rsidRPr="00892409">
        <w:rPr>
          <w:rFonts w:cs="Arial"/>
        </w:rPr>
        <w:t xml:space="preserve">.  Based on the comfort of the caregiver and child, the students may conduct some aspects of the developmental assessments. The faculty facilitators conduct the developmental assessment, answer questions and model </w:t>
      </w:r>
      <w:proofErr w:type="spellStart"/>
      <w:r w:rsidRPr="00892409">
        <w:rPr>
          <w:rFonts w:cs="Arial"/>
        </w:rPr>
        <w:t>interprofessional</w:t>
      </w:r>
      <w:proofErr w:type="spellEnd"/>
      <w:r w:rsidRPr="00892409">
        <w:rPr>
          <w:rFonts w:cs="Arial"/>
        </w:rPr>
        <w:t xml:space="preserve"> team c</w:t>
      </w:r>
      <w:r w:rsidR="004C4D0E">
        <w:rPr>
          <w:rFonts w:cs="Arial"/>
        </w:rPr>
        <w:t>ollaboration</w:t>
      </w:r>
      <w:r w:rsidRPr="00892409">
        <w:rPr>
          <w:rFonts w:cs="Arial"/>
        </w:rPr>
        <w:t xml:space="preserve">. For the third hour of the learning experience, </w:t>
      </w:r>
      <w:r w:rsidR="004C4D0E">
        <w:rPr>
          <w:rFonts w:cs="Arial"/>
        </w:rPr>
        <w:t>each group is separated</w:t>
      </w:r>
      <w:r w:rsidRPr="00892409">
        <w:rPr>
          <w:rFonts w:cs="Arial"/>
        </w:rPr>
        <w:t xml:space="preserve"> into smaller groups of 8-9 students to complete their assignment (see </w:t>
      </w:r>
      <w:r w:rsidR="004C4D0E">
        <w:rPr>
          <w:rFonts w:cs="Arial"/>
        </w:rPr>
        <w:t>Appendix A</w:t>
      </w:r>
      <w:r w:rsidRPr="00892409">
        <w:rPr>
          <w:rFonts w:cs="Arial"/>
        </w:rPr>
        <w:t>)</w:t>
      </w:r>
      <w:r w:rsidR="004C4D0E">
        <w:rPr>
          <w:rFonts w:cs="Arial"/>
        </w:rPr>
        <w:t xml:space="preserve">. </w:t>
      </w:r>
      <w:r w:rsidRPr="00892409">
        <w:rPr>
          <w:rFonts w:cs="Arial"/>
        </w:rPr>
        <w:t xml:space="preserve"> </w:t>
      </w:r>
      <w:r w:rsidR="004C4D0E">
        <w:rPr>
          <w:rFonts w:cs="Arial"/>
        </w:rPr>
        <w:t>This</w:t>
      </w:r>
      <w:r w:rsidRPr="00892409">
        <w:rPr>
          <w:rFonts w:cs="Arial"/>
        </w:rPr>
        <w:t xml:space="preserve"> focuses on concepts of development, suggestions to promote further development in identified areas and understanding interprofessional roles and communication. Faculty facilitate discussion within the groups and answer questions and address concerns as needed.  The students then submit the assignment (one per group) through the online learning platform. The children for IDD are recruited through clinical and social contacts of the faculty and through alumni connections.</w:t>
      </w:r>
      <w:bookmarkStart w:id="0" w:name="_GoBack"/>
      <w:bookmarkEnd w:id="0"/>
    </w:p>
    <w:p w:rsidR="000B0734" w:rsidRPr="004C4D0E" w:rsidRDefault="0051682E" w:rsidP="004C4D0E">
      <w:pPr>
        <w:spacing w:after="120"/>
        <w:rPr>
          <w:rFonts w:cs="Arial"/>
        </w:rPr>
      </w:pPr>
      <w:r w:rsidRPr="004C4D0E">
        <w:rPr>
          <w:rFonts w:cs="Arial"/>
          <w:u w:val="single"/>
        </w:rPr>
        <w:lastRenderedPageBreak/>
        <w:t xml:space="preserve">Time for student </w:t>
      </w:r>
      <w:r w:rsidR="004C4D0E" w:rsidRPr="004C4D0E">
        <w:rPr>
          <w:rFonts w:cs="Arial"/>
          <w:u w:val="single"/>
        </w:rPr>
        <w:t xml:space="preserve">to complete the activity:                                                                                                                           </w:t>
      </w:r>
      <w:r w:rsidR="004C4D0E">
        <w:rPr>
          <w:rFonts w:cs="Arial"/>
        </w:rPr>
        <w:t xml:space="preserve">1. </w:t>
      </w:r>
      <w:r w:rsidR="000B0734" w:rsidRPr="004C4D0E">
        <w:rPr>
          <w:rFonts w:cs="Arial"/>
        </w:rPr>
        <w:t>preparation for activity</w:t>
      </w:r>
      <w:r w:rsidR="00AA6A79" w:rsidRPr="004C4D0E">
        <w:rPr>
          <w:rFonts w:cs="Arial"/>
        </w:rPr>
        <w:t xml:space="preserve"> </w:t>
      </w:r>
      <w:r w:rsidR="001559E2" w:rsidRPr="004C4D0E">
        <w:rPr>
          <w:rFonts w:cs="Arial"/>
        </w:rPr>
        <w:t>outside of/</w:t>
      </w:r>
      <w:r w:rsidR="00AA6A79" w:rsidRPr="004C4D0E">
        <w:rPr>
          <w:rFonts w:cs="Arial"/>
        </w:rPr>
        <w:t>before class</w:t>
      </w:r>
      <w:r w:rsidR="000B0734" w:rsidRPr="004C4D0E">
        <w:rPr>
          <w:rFonts w:cs="Arial"/>
        </w:rPr>
        <w:t xml:space="preserve">: </w:t>
      </w:r>
      <w:r w:rsidR="004C4D0E">
        <w:rPr>
          <w:rFonts w:cs="Arial"/>
        </w:rPr>
        <w:t xml:space="preserve">2 hours                                                                                                      2.  </w:t>
      </w:r>
      <w:proofErr w:type="gramStart"/>
      <w:r w:rsidR="000B0734" w:rsidRPr="004C4D0E">
        <w:rPr>
          <w:rFonts w:cs="Arial"/>
        </w:rPr>
        <w:t>class</w:t>
      </w:r>
      <w:proofErr w:type="gramEnd"/>
      <w:r w:rsidR="000B0734" w:rsidRPr="004C4D0E">
        <w:rPr>
          <w:rFonts w:cs="Arial"/>
        </w:rPr>
        <w:t xml:space="preserve"> time </w:t>
      </w:r>
      <w:r w:rsidR="00606FBA" w:rsidRPr="004C4D0E">
        <w:rPr>
          <w:rFonts w:cs="Arial"/>
        </w:rPr>
        <w:t xml:space="preserve">and </w:t>
      </w:r>
      <w:r w:rsidR="000B0734" w:rsidRPr="004C4D0E">
        <w:rPr>
          <w:rFonts w:cs="Arial"/>
        </w:rPr>
        <w:t xml:space="preserve">completion of </w:t>
      </w:r>
      <w:r w:rsidR="00606FBA" w:rsidRPr="004C4D0E">
        <w:rPr>
          <w:rFonts w:cs="Arial"/>
        </w:rPr>
        <w:t>assignment</w:t>
      </w:r>
      <w:r w:rsidR="000B0734" w:rsidRPr="004C4D0E">
        <w:rPr>
          <w:rFonts w:cs="Arial"/>
        </w:rPr>
        <w:t xml:space="preserve">: </w:t>
      </w:r>
      <w:r w:rsidR="00234645" w:rsidRPr="004C4D0E">
        <w:rPr>
          <w:rFonts w:cs="Arial"/>
        </w:rPr>
        <w:t>3 hours</w:t>
      </w:r>
    </w:p>
    <w:p w:rsidR="008760AC" w:rsidRPr="00892409" w:rsidRDefault="008760AC" w:rsidP="00892409">
      <w:pPr>
        <w:pStyle w:val="ListParagraph"/>
        <w:spacing w:after="120"/>
        <w:ind w:left="1080"/>
        <w:rPr>
          <w:rFonts w:cs="Arial"/>
        </w:rPr>
      </w:pPr>
    </w:p>
    <w:p w:rsidR="00E75520" w:rsidRPr="00892409" w:rsidRDefault="00E75520" w:rsidP="00892409">
      <w:pPr>
        <w:pStyle w:val="ListParagraph"/>
        <w:spacing w:after="120"/>
        <w:ind w:left="360"/>
        <w:rPr>
          <w:rFonts w:cs="Arial"/>
        </w:rPr>
      </w:pPr>
    </w:p>
    <w:p w:rsidR="008323B0" w:rsidRPr="00892409" w:rsidRDefault="008323B0" w:rsidP="00892409">
      <w:pPr>
        <w:pStyle w:val="ListParagraph"/>
        <w:spacing w:after="120"/>
        <w:ind w:left="360"/>
        <w:rPr>
          <w:rFonts w:cs="Arial"/>
        </w:rPr>
      </w:pPr>
    </w:p>
    <w:p w:rsidR="0051682E" w:rsidRPr="00892409" w:rsidRDefault="0051682E" w:rsidP="004C4D0E">
      <w:pPr>
        <w:spacing w:after="120"/>
        <w:rPr>
          <w:rFonts w:cs="Arial"/>
        </w:rPr>
      </w:pPr>
      <w:r w:rsidRPr="000A346C">
        <w:rPr>
          <w:rFonts w:cs="Arial"/>
          <w:u w:val="single"/>
        </w:rPr>
        <w:t>Readings/other preparatory materials</w:t>
      </w:r>
      <w:r w:rsidR="000B0734" w:rsidRPr="000A346C">
        <w:rPr>
          <w:rFonts w:cs="Arial"/>
          <w:u w:val="single"/>
        </w:rPr>
        <w:t>:</w:t>
      </w:r>
      <w:r w:rsidR="00E75520" w:rsidRPr="000A346C">
        <w:rPr>
          <w:rFonts w:cs="Arial"/>
          <w:u w:val="single"/>
        </w:rPr>
        <w:t xml:space="preserve"> </w:t>
      </w:r>
      <w:r w:rsidR="004C4D0E" w:rsidRPr="000A346C">
        <w:rPr>
          <w:rFonts w:cs="Arial"/>
          <w:u w:val="single"/>
        </w:rPr>
        <w:t xml:space="preserve">             </w:t>
      </w:r>
      <w:r w:rsidR="004C4D0E">
        <w:rPr>
          <w:rFonts w:cs="Arial"/>
        </w:rPr>
        <w:t xml:space="preserve">                                                                                                                 A</w:t>
      </w:r>
      <w:r w:rsidR="001077F4" w:rsidRPr="00892409">
        <w:rPr>
          <w:rFonts w:cs="Arial"/>
        </w:rPr>
        <w:t xml:space="preserve">ll participating students </w:t>
      </w:r>
      <w:r w:rsidR="00512AB2" w:rsidRPr="00892409">
        <w:rPr>
          <w:rFonts w:cs="Arial"/>
        </w:rPr>
        <w:t xml:space="preserve">and faculty </w:t>
      </w:r>
      <w:r w:rsidR="001077F4" w:rsidRPr="00892409">
        <w:rPr>
          <w:rFonts w:cs="Arial"/>
        </w:rPr>
        <w:t xml:space="preserve">are </w:t>
      </w:r>
      <w:r w:rsidR="00512AB2" w:rsidRPr="00892409">
        <w:rPr>
          <w:rFonts w:cs="Arial"/>
        </w:rPr>
        <w:t xml:space="preserve">enrolled in the IDD ‘course shell’ on the school’s </w:t>
      </w:r>
      <w:r w:rsidR="001077F4" w:rsidRPr="00892409">
        <w:rPr>
          <w:rFonts w:cs="Arial"/>
        </w:rPr>
        <w:t xml:space="preserve">learning </w:t>
      </w:r>
      <w:r w:rsidR="00E75520" w:rsidRPr="00892409">
        <w:rPr>
          <w:rFonts w:cs="Arial"/>
        </w:rPr>
        <w:t>platform</w:t>
      </w:r>
      <w:r w:rsidR="004C4D0E">
        <w:rPr>
          <w:rFonts w:cs="Arial"/>
        </w:rPr>
        <w:t>. A</w:t>
      </w:r>
      <w:r w:rsidR="0068789F" w:rsidRPr="00892409">
        <w:rPr>
          <w:rFonts w:cs="Arial"/>
        </w:rPr>
        <w:t xml:space="preserve">ll </w:t>
      </w:r>
      <w:r w:rsidR="00FA3CA5" w:rsidRPr="00892409">
        <w:rPr>
          <w:rFonts w:cs="Arial"/>
        </w:rPr>
        <w:t xml:space="preserve">IDD updates, </w:t>
      </w:r>
      <w:r w:rsidR="00512AB2" w:rsidRPr="00892409">
        <w:rPr>
          <w:rFonts w:cs="Arial"/>
        </w:rPr>
        <w:t xml:space="preserve">instructions, </w:t>
      </w:r>
      <w:r w:rsidR="00FA3CA5" w:rsidRPr="00892409">
        <w:rPr>
          <w:rFonts w:cs="Arial"/>
        </w:rPr>
        <w:t xml:space="preserve">content and electronic communications </w:t>
      </w:r>
      <w:r w:rsidR="004C4D0E">
        <w:rPr>
          <w:rFonts w:cs="Arial"/>
        </w:rPr>
        <w:t>appear on a</w:t>
      </w:r>
      <w:r w:rsidR="00FA3CA5" w:rsidRPr="00892409">
        <w:rPr>
          <w:rFonts w:cs="Arial"/>
        </w:rPr>
        <w:t xml:space="preserve"> common</w:t>
      </w:r>
      <w:r w:rsidR="00512AB2" w:rsidRPr="00892409">
        <w:rPr>
          <w:rFonts w:cs="Arial"/>
        </w:rPr>
        <w:t xml:space="preserve"> </w:t>
      </w:r>
      <w:r w:rsidR="00E7390B" w:rsidRPr="00892409">
        <w:rPr>
          <w:rFonts w:cs="Arial"/>
        </w:rPr>
        <w:t>source</w:t>
      </w:r>
      <w:r w:rsidR="004C4D0E">
        <w:rPr>
          <w:rFonts w:cs="Arial"/>
        </w:rPr>
        <w:t xml:space="preserve"> regardless of</w:t>
      </w:r>
      <w:r w:rsidR="00512AB2" w:rsidRPr="00892409">
        <w:rPr>
          <w:rFonts w:cs="Arial"/>
        </w:rPr>
        <w:t xml:space="preserve"> program</w:t>
      </w:r>
      <w:r w:rsidR="004C4D0E">
        <w:rPr>
          <w:rFonts w:cs="Arial"/>
        </w:rPr>
        <w:t>, which</w:t>
      </w:r>
      <w:r w:rsidR="00512AB2" w:rsidRPr="00892409">
        <w:rPr>
          <w:rFonts w:cs="Arial"/>
        </w:rPr>
        <w:t xml:space="preserve"> optimizes IDD communications among faculty and student</w:t>
      </w:r>
      <w:r w:rsidR="00FA3CA5" w:rsidRPr="00892409">
        <w:rPr>
          <w:rFonts w:cs="Arial"/>
        </w:rPr>
        <w:t xml:space="preserve"> </w:t>
      </w:r>
      <w:r w:rsidR="0068789F" w:rsidRPr="00892409">
        <w:rPr>
          <w:rFonts w:cs="Arial"/>
        </w:rPr>
        <w:t>participants</w:t>
      </w:r>
      <w:r w:rsidR="008323B0" w:rsidRPr="00892409">
        <w:rPr>
          <w:rFonts w:cs="Arial"/>
        </w:rPr>
        <w:t xml:space="preserve">. </w:t>
      </w:r>
      <w:r w:rsidR="002E701C" w:rsidRPr="00892409">
        <w:rPr>
          <w:rFonts w:cs="Arial"/>
        </w:rPr>
        <w:t>Prior to IDD, participants are required to do assigned readings as well as to watch a</w:t>
      </w:r>
      <w:r w:rsidR="008323B0" w:rsidRPr="00892409">
        <w:rPr>
          <w:rFonts w:cs="Arial"/>
        </w:rPr>
        <w:t xml:space="preserve"> video of a developmental assessment completed by an OT, PT and sp</w:t>
      </w:r>
      <w:r w:rsidR="003C6EBD" w:rsidRPr="00892409">
        <w:rPr>
          <w:rFonts w:cs="Arial"/>
        </w:rPr>
        <w:t xml:space="preserve">eech language pathologist (SLP) </w:t>
      </w:r>
      <w:r w:rsidR="000871D5" w:rsidRPr="00892409">
        <w:rPr>
          <w:rFonts w:cs="Arial"/>
        </w:rPr>
        <w:t xml:space="preserve">using the </w:t>
      </w:r>
      <w:r w:rsidR="00B86BA2" w:rsidRPr="00892409">
        <w:rPr>
          <w:rFonts w:cs="Arial"/>
        </w:rPr>
        <w:t>Battelle Developmental Inventory, Second Edition (BDI-2)</w:t>
      </w:r>
      <w:r w:rsidR="00110DCF" w:rsidRPr="00892409">
        <w:rPr>
          <w:rFonts w:cs="Arial"/>
        </w:rPr>
        <w:t xml:space="preserve">. </w:t>
      </w:r>
      <w:r w:rsidR="008323B0" w:rsidRPr="00892409">
        <w:rPr>
          <w:rFonts w:cs="Arial"/>
        </w:rPr>
        <w:t>The video involves referral from a NP</w:t>
      </w:r>
      <w:r w:rsidR="001A3BB9" w:rsidRPr="00892409">
        <w:rPr>
          <w:rFonts w:cs="Arial"/>
        </w:rPr>
        <w:t>/PA</w:t>
      </w:r>
      <w:r w:rsidR="008323B0" w:rsidRPr="00892409">
        <w:rPr>
          <w:rFonts w:cs="Arial"/>
        </w:rPr>
        <w:t xml:space="preserve"> at the pediatrician’s office </w:t>
      </w:r>
      <w:r w:rsidR="00AF15AA" w:rsidRPr="00892409">
        <w:rPr>
          <w:rFonts w:cs="Arial"/>
        </w:rPr>
        <w:t xml:space="preserve">in light of </w:t>
      </w:r>
      <w:r w:rsidR="008323B0" w:rsidRPr="00892409">
        <w:rPr>
          <w:rFonts w:cs="Arial"/>
        </w:rPr>
        <w:t xml:space="preserve">parental concerns and discusses a Denver screening that was completed and </w:t>
      </w:r>
      <w:r w:rsidR="00AF15AA" w:rsidRPr="00892409">
        <w:rPr>
          <w:rFonts w:cs="Arial"/>
        </w:rPr>
        <w:t xml:space="preserve">indicated need for </w:t>
      </w:r>
      <w:r w:rsidR="008323B0" w:rsidRPr="00892409">
        <w:rPr>
          <w:rFonts w:cs="Arial"/>
        </w:rPr>
        <w:t>further Early Intervention (EI) evaluation</w:t>
      </w:r>
      <w:r w:rsidR="000871D5" w:rsidRPr="00892409">
        <w:rPr>
          <w:rFonts w:cs="Arial"/>
        </w:rPr>
        <w:t>.  In addition to the faculty</w:t>
      </w:r>
      <w:r w:rsidR="0008660D" w:rsidRPr="00892409">
        <w:rPr>
          <w:rFonts w:cs="Arial"/>
        </w:rPr>
        <w:t>-</w:t>
      </w:r>
      <w:r w:rsidR="000871D5" w:rsidRPr="00892409">
        <w:rPr>
          <w:rFonts w:cs="Arial"/>
        </w:rPr>
        <w:t xml:space="preserve">constructed developmental video assessment, an online resource titled </w:t>
      </w:r>
      <w:hyperlink r:id="rId9" w:history="1">
        <w:r w:rsidR="000871D5" w:rsidRPr="00892409">
          <w:t>“When to watch, when to refer, when to reassure”</w:t>
        </w:r>
      </w:hyperlink>
      <w:r w:rsidR="000871D5" w:rsidRPr="00892409">
        <w:rPr>
          <w:rFonts w:cs="Arial"/>
        </w:rPr>
        <w:t xml:space="preserve"> </w:t>
      </w:r>
      <w:r w:rsidR="003C6EBD" w:rsidRPr="00892409">
        <w:rPr>
          <w:rFonts w:cs="Arial"/>
        </w:rPr>
        <w:t>that</w:t>
      </w:r>
      <w:r w:rsidR="000871D5" w:rsidRPr="00892409">
        <w:rPr>
          <w:rFonts w:cs="Arial"/>
        </w:rPr>
        <w:t xml:space="preserve"> is </w:t>
      </w:r>
      <w:r w:rsidR="002E701C" w:rsidRPr="00892409">
        <w:rPr>
          <w:rFonts w:cs="Arial"/>
        </w:rPr>
        <w:t xml:space="preserve">already </w:t>
      </w:r>
      <w:r w:rsidR="000871D5" w:rsidRPr="00892409">
        <w:rPr>
          <w:rFonts w:cs="Arial"/>
        </w:rPr>
        <w:t>included in the NP and PA coursework i</w:t>
      </w:r>
      <w:r w:rsidR="003C6EBD" w:rsidRPr="00892409">
        <w:rPr>
          <w:rFonts w:cs="Arial"/>
        </w:rPr>
        <w:t xml:space="preserve">s </w:t>
      </w:r>
      <w:r w:rsidR="002E701C" w:rsidRPr="00892409">
        <w:rPr>
          <w:rFonts w:cs="Arial"/>
        </w:rPr>
        <w:t>required for OT</w:t>
      </w:r>
      <w:r w:rsidR="00B35361" w:rsidRPr="00892409">
        <w:rPr>
          <w:rFonts w:cs="Arial"/>
        </w:rPr>
        <w:t>, CSD</w:t>
      </w:r>
      <w:r w:rsidR="002E701C" w:rsidRPr="00892409">
        <w:rPr>
          <w:rFonts w:cs="Arial"/>
        </w:rPr>
        <w:t xml:space="preserve"> and PT students </w:t>
      </w:r>
      <w:r w:rsidR="003C6EBD" w:rsidRPr="00892409">
        <w:rPr>
          <w:rFonts w:cs="Arial"/>
        </w:rPr>
        <w:t>so that all student</w:t>
      </w:r>
      <w:r w:rsidR="001A3BB9" w:rsidRPr="00892409">
        <w:rPr>
          <w:rFonts w:cs="Arial"/>
        </w:rPr>
        <w:t xml:space="preserve"> are familiar</w:t>
      </w:r>
      <w:r w:rsidR="003C6EBD" w:rsidRPr="00892409">
        <w:rPr>
          <w:rFonts w:cs="Arial"/>
        </w:rPr>
        <w:t xml:space="preserve"> with purpose and use of the Denver II.</w:t>
      </w:r>
      <w:r w:rsidR="001A3BB9" w:rsidRPr="00892409">
        <w:rPr>
          <w:rFonts w:cs="Arial"/>
        </w:rPr>
        <w:t xml:space="preserve">  </w:t>
      </w:r>
    </w:p>
    <w:p w:rsidR="00A61499" w:rsidRPr="00892409" w:rsidRDefault="00A61499" w:rsidP="00892409">
      <w:pPr>
        <w:pStyle w:val="ListParagraph"/>
        <w:spacing w:after="120"/>
        <w:ind w:left="360"/>
        <w:rPr>
          <w:rFonts w:cs="Arial"/>
        </w:rPr>
      </w:pPr>
    </w:p>
    <w:p w:rsidR="00A61499" w:rsidRPr="00892409" w:rsidRDefault="00A61499" w:rsidP="00892409">
      <w:pPr>
        <w:pStyle w:val="ListParagraph"/>
        <w:spacing w:after="120"/>
        <w:ind w:left="360"/>
        <w:rPr>
          <w:rFonts w:cs="Arial"/>
        </w:rPr>
      </w:pPr>
    </w:p>
    <w:p w:rsidR="009743E2" w:rsidRPr="004C4D0E" w:rsidRDefault="0051682E" w:rsidP="004C4D0E">
      <w:pPr>
        <w:spacing w:after="160"/>
        <w:rPr>
          <w:rFonts w:cs="Arial"/>
        </w:rPr>
      </w:pPr>
      <w:r w:rsidRPr="000A346C">
        <w:rPr>
          <w:rFonts w:cs="Arial"/>
          <w:u w:val="single"/>
        </w:rPr>
        <w:t>Learning Objectives</w:t>
      </w:r>
      <w:r w:rsidR="000B0734" w:rsidRPr="000A346C">
        <w:rPr>
          <w:rFonts w:cs="Arial"/>
          <w:u w:val="single"/>
        </w:rPr>
        <w:t>:</w:t>
      </w:r>
      <w:r w:rsidR="000B0734" w:rsidRPr="004C4D0E">
        <w:rPr>
          <w:rFonts w:cs="Arial"/>
        </w:rPr>
        <w:t xml:space="preserve"> </w:t>
      </w:r>
      <w:r w:rsidR="004C4D0E">
        <w:rPr>
          <w:rFonts w:cs="Arial"/>
        </w:rPr>
        <w:tab/>
      </w:r>
      <w:r w:rsidR="004C4D0E">
        <w:rPr>
          <w:rFonts w:cs="Arial"/>
        </w:rPr>
        <w:tab/>
      </w:r>
      <w:r w:rsidR="004C4D0E">
        <w:rPr>
          <w:rFonts w:cs="Arial"/>
        </w:rPr>
        <w:tab/>
      </w:r>
      <w:r w:rsidR="004C4D0E">
        <w:rPr>
          <w:rFonts w:cs="Arial"/>
        </w:rPr>
        <w:tab/>
      </w:r>
      <w:r w:rsidR="004C4D0E">
        <w:rPr>
          <w:rFonts w:cs="Arial"/>
        </w:rPr>
        <w:tab/>
      </w:r>
      <w:r w:rsidR="004C4D0E">
        <w:rPr>
          <w:rFonts w:cs="Arial"/>
        </w:rPr>
        <w:tab/>
      </w:r>
      <w:r w:rsidR="004C4D0E">
        <w:rPr>
          <w:rFonts w:cs="Arial"/>
        </w:rPr>
        <w:tab/>
      </w:r>
      <w:r w:rsidR="004C4D0E">
        <w:rPr>
          <w:rFonts w:cs="Arial"/>
        </w:rPr>
        <w:tab/>
      </w:r>
      <w:r w:rsidR="004C4D0E">
        <w:rPr>
          <w:rFonts w:cs="Arial"/>
        </w:rPr>
        <w:tab/>
      </w:r>
      <w:r w:rsidR="004C4D0E">
        <w:rPr>
          <w:rFonts w:cs="Arial"/>
        </w:rPr>
        <w:tab/>
        <w:t xml:space="preserve">             1</w:t>
      </w:r>
      <w:proofErr w:type="gramStart"/>
      <w:r w:rsidR="004C4D0E">
        <w:rPr>
          <w:rFonts w:cs="Arial"/>
        </w:rPr>
        <w:t xml:space="preserve">.  </w:t>
      </w:r>
      <w:r w:rsidR="00EC59D9" w:rsidRPr="00892409">
        <w:rPr>
          <w:rFonts w:eastAsia="Times New Roman" w:cs="Arial"/>
        </w:rPr>
        <w:t>D</w:t>
      </w:r>
      <w:r w:rsidR="009743E2" w:rsidRPr="00892409">
        <w:rPr>
          <w:rFonts w:eastAsia="Times New Roman" w:cs="Arial"/>
        </w:rPr>
        <w:t>escribe</w:t>
      </w:r>
      <w:proofErr w:type="gramEnd"/>
      <w:r w:rsidR="009743E2" w:rsidRPr="00892409">
        <w:rPr>
          <w:rFonts w:eastAsia="Times New Roman" w:cs="Arial"/>
        </w:rPr>
        <w:t xml:space="preserve"> their profession-specific role in developmental assessment and early detection of children with developmental delays.</w:t>
      </w:r>
      <w:r w:rsidR="009743E2" w:rsidRPr="00892409">
        <w:rPr>
          <w:rFonts w:eastAsia="Times New Roman"/>
        </w:rPr>
        <w:t xml:space="preserve"> </w:t>
      </w:r>
      <w:r w:rsidR="004C4D0E">
        <w:rPr>
          <w:rFonts w:eastAsia="Times New Roman"/>
        </w:rPr>
        <w:tab/>
      </w:r>
      <w:r w:rsidR="004C4D0E">
        <w:rPr>
          <w:rFonts w:eastAsia="Times New Roman"/>
        </w:rPr>
        <w:tab/>
      </w:r>
      <w:r w:rsidR="004C4D0E">
        <w:rPr>
          <w:rFonts w:eastAsia="Times New Roman"/>
        </w:rPr>
        <w:tab/>
      </w:r>
      <w:r w:rsidR="004C4D0E">
        <w:rPr>
          <w:rFonts w:eastAsia="Times New Roman"/>
        </w:rPr>
        <w:tab/>
      </w:r>
      <w:r w:rsidR="004C4D0E">
        <w:rPr>
          <w:rFonts w:eastAsia="Times New Roman"/>
        </w:rPr>
        <w:tab/>
      </w:r>
      <w:r w:rsidR="004C4D0E">
        <w:rPr>
          <w:rFonts w:eastAsia="Times New Roman"/>
        </w:rPr>
        <w:tab/>
      </w:r>
      <w:r w:rsidR="004C4D0E">
        <w:rPr>
          <w:rFonts w:eastAsia="Times New Roman"/>
        </w:rPr>
        <w:tab/>
      </w:r>
      <w:r w:rsidR="004C4D0E">
        <w:rPr>
          <w:rFonts w:eastAsia="Times New Roman"/>
        </w:rPr>
        <w:tab/>
      </w:r>
      <w:r w:rsidR="004C4D0E">
        <w:rPr>
          <w:rFonts w:eastAsia="Times New Roman"/>
        </w:rPr>
        <w:tab/>
        <w:t xml:space="preserve">             </w:t>
      </w:r>
      <w:r w:rsidR="004C4D0E">
        <w:rPr>
          <w:rFonts w:cs="Arial"/>
        </w:rPr>
        <w:t xml:space="preserve">2.  </w:t>
      </w:r>
      <w:r w:rsidR="0062687C" w:rsidRPr="00892409">
        <w:rPr>
          <w:rFonts w:eastAsia="Times New Roman" w:cs="Arial"/>
        </w:rPr>
        <w:t>Describe</w:t>
      </w:r>
      <w:r w:rsidR="007837F3" w:rsidRPr="00892409">
        <w:rPr>
          <w:rFonts w:eastAsia="Times New Roman" w:cs="Arial"/>
        </w:rPr>
        <w:t xml:space="preserve"> </w:t>
      </w:r>
      <w:r w:rsidR="009743E2" w:rsidRPr="00892409">
        <w:rPr>
          <w:rFonts w:eastAsia="Times New Roman" w:cs="Arial"/>
        </w:rPr>
        <w:t xml:space="preserve">the potential contributions of each participating profession </w:t>
      </w:r>
      <w:r w:rsidR="007837F3" w:rsidRPr="00892409">
        <w:rPr>
          <w:rFonts w:eastAsia="Times New Roman" w:cs="Arial"/>
        </w:rPr>
        <w:t xml:space="preserve">to the developmental assessment process and to the </w:t>
      </w:r>
      <w:r w:rsidR="009743E2" w:rsidRPr="00892409">
        <w:rPr>
          <w:rFonts w:eastAsia="Times New Roman" w:cs="Arial"/>
        </w:rPr>
        <w:t>early detection of children with developmental delays.</w:t>
      </w:r>
      <w:r w:rsidR="00EC59D9" w:rsidRPr="00892409">
        <w:rPr>
          <w:rFonts w:eastAsia="Times New Roman" w:cs="Arial"/>
          <w:color w:val="FF0000"/>
        </w:rPr>
        <w:t xml:space="preserve"> </w:t>
      </w:r>
      <w:r w:rsidR="004C4D0E">
        <w:rPr>
          <w:rFonts w:eastAsia="Times New Roman" w:cs="Arial"/>
          <w:color w:val="FF0000"/>
        </w:rPr>
        <w:tab/>
      </w:r>
      <w:r w:rsidR="004C4D0E">
        <w:rPr>
          <w:rFonts w:eastAsia="Times New Roman" w:cs="Arial"/>
          <w:color w:val="FF0000"/>
        </w:rPr>
        <w:tab/>
        <w:t xml:space="preserve">            </w:t>
      </w:r>
      <w:r w:rsidR="004C4D0E">
        <w:rPr>
          <w:rFonts w:cs="Arial"/>
        </w:rPr>
        <w:t xml:space="preserve">3.  </w:t>
      </w:r>
      <w:r w:rsidR="00EC59D9" w:rsidRPr="00892409">
        <w:rPr>
          <w:rFonts w:eastAsia="Times New Roman" w:cs="Arial"/>
        </w:rPr>
        <w:t>Di</w:t>
      </w:r>
      <w:r w:rsidR="009743E2" w:rsidRPr="00892409">
        <w:rPr>
          <w:rFonts w:eastAsia="Times New Roman" w:cs="Arial"/>
        </w:rPr>
        <w:t xml:space="preserve">scuss how a collaborative </w:t>
      </w:r>
      <w:proofErr w:type="spellStart"/>
      <w:r w:rsidR="009743E2" w:rsidRPr="00892409">
        <w:rPr>
          <w:rFonts w:eastAsia="Times New Roman" w:cs="Arial"/>
        </w:rPr>
        <w:t>interprofessional</w:t>
      </w:r>
      <w:proofErr w:type="spellEnd"/>
      <w:r w:rsidR="009743E2" w:rsidRPr="00892409">
        <w:rPr>
          <w:rFonts w:eastAsia="Times New Roman" w:cs="Arial"/>
        </w:rPr>
        <w:t xml:space="preserve"> experience can enhance understanding of selected professional roles and teamwork </w:t>
      </w:r>
      <w:r w:rsidR="004C4D0E">
        <w:rPr>
          <w:rFonts w:eastAsia="Times New Roman" w:cs="Arial"/>
        </w:rPr>
        <w:tab/>
      </w:r>
      <w:r w:rsidR="004C4D0E">
        <w:rPr>
          <w:rFonts w:eastAsia="Times New Roman" w:cs="Arial"/>
        </w:rPr>
        <w:tab/>
      </w:r>
      <w:r w:rsidR="004C4D0E">
        <w:rPr>
          <w:rFonts w:eastAsia="Times New Roman" w:cs="Arial"/>
        </w:rPr>
        <w:tab/>
      </w:r>
      <w:r w:rsidR="004C4D0E">
        <w:rPr>
          <w:rFonts w:eastAsia="Times New Roman" w:cs="Arial"/>
        </w:rPr>
        <w:tab/>
      </w:r>
      <w:r w:rsidR="004C4D0E">
        <w:rPr>
          <w:rFonts w:eastAsia="Times New Roman" w:cs="Arial"/>
        </w:rPr>
        <w:tab/>
      </w:r>
      <w:r w:rsidR="004C4D0E">
        <w:rPr>
          <w:rFonts w:eastAsia="Times New Roman" w:cs="Arial"/>
        </w:rPr>
        <w:tab/>
        <w:t xml:space="preserve">                                                 </w:t>
      </w:r>
      <w:r w:rsidR="004C4D0E">
        <w:rPr>
          <w:rFonts w:cs="Arial"/>
        </w:rPr>
        <w:t xml:space="preserve">4.  </w:t>
      </w:r>
      <w:r w:rsidR="00EC59D9" w:rsidRPr="00892409">
        <w:rPr>
          <w:rFonts w:eastAsia="Times New Roman" w:cs="Arial"/>
        </w:rPr>
        <w:t>D</w:t>
      </w:r>
      <w:r w:rsidR="009743E2" w:rsidRPr="00892409">
        <w:rPr>
          <w:rFonts w:eastAsia="Times New Roman" w:cs="Arial"/>
        </w:rPr>
        <w:t>iscuss how a collaborative interprofessional experience can enhance understanding of concepts of normal development and early detection of children with developmental delays.</w:t>
      </w:r>
      <w:r w:rsidR="009743E2" w:rsidRPr="00892409">
        <w:rPr>
          <w:rFonts w:eastAsia="Times New Roman"/>
        </w:rPr>
        <w:t xml:space="preserve"> </w:t>
      </w:r>
      <w:r w:rsidR="004C4D0E">
        <w:rPr>
          <w:rFonts w:eastAsia="Times New Roman"/>
        </w:rPr>
        <w:t xml:space="preserve">                                                           </w:t>
      </w:r>
      <w:r w:rsidR="004C4D0E">
        <w:rPr>
          <w:rFonts w:cs="Arial"/>
        </w:rPr>
        <w:t xml:space="preserve">5.  </w:t>
      </w:r>
      <w:r w:rsidR="009743E2" w:rsidRPr="00892409">
        <w:rPr>
          <w:rFonts w:eastAsia="Times New Roman" w:cs="Arial"/>
        </w:rPr>
        <w:t xml:space="preserve">As of part of an interprofessional team, </w:t>
      </w:r>
      <w:r w:rsidR="00EC59D9" w:rsidRPr="00892409">
        <w:rPr>
          <w:rFonts w:eastAsia="Times New Roman" w:cs="Arial"/>
        </w:rPr>
        <w:t>m</w:t>
      </w:r>
      <w:r w:rsidR="009743E2" w:rsidRPr="00892409">
        <w:rPr>
          <w:rFonts w:eastAsia="Times New Roman" w:cs="Arial"/>
        </w:rPr>
        <w:t xml:space="preserve">ake appropriate recommendations to a family that will facilitate continued development of a child they observed. </w:t>
      </w:r>
    </w:p>
    <w:p w:rsidR="000A346C" w:rsidRDefault="009743E2" w:rsidP="000A346C">
      <w:pPr>
        <w:rPr>
          <w:rFonts w:eastAsia="Times New Roman" w:cs="Arial"/>
        </w:rPr>
      </w:pPr>
      <w:r w:rsidRPr="00892409">
        <w:t> </w:t>
      </w:r>
    </w:p>
    <w:p w:rsidR="000A346C" w:rsidRPr="000A346C" w:rsidRDefault="0051682E" w:rsidP="000A346C">
      <w:pPr>
        <w:rPr>
          <w:rFonts w:eastAsia="Times New Roman" w:cs="Arial"/>
        </w:rPr>
        <w:sectPr w:rsidR="000A346C" w:rsidRPr="000A346C" w:rsidSect="00186F79">
          <w:headerReference w:type="default" r:id="rId10"/>
          <w:footerReference w:type="default" r:id="rId11"/>
          <w:pgSz w:w="12240" w:h="15840"/>
          <w:pgMar w:top="1440" w:right="1440" w:bottom="1440" w:left="1440" w:header="720" w:footer="720" w:gutter="0"/>
          <w:cols w:space="720"/>
          <w:docGrid w:linePitch="360"/>
        </w:sectPr>
      </w:pPr>
      <w:r w:rsidRPr="00F7329E">
        <w:rPr>
          <w:rFonts w:cs="Arial"/>
          <w:u w:val="single"/>
        </w:rPr>
        <w:t>Methods of evaluation of student learning</w:t>
      </w:r>
      <w:r w:rsidR="000B0734" w:rsidRPr="00F7329E">
        <w:rPr>
          <w:rFonts w:cs="Arial"/>
          <w:u w:val="single"/>
        </w:rPr>
        <w:t>:</w:t>
      </w:r>
      <w:r w:rsidR="000B0734" w:rsidRPr="000A346C">
        <w:rPr>
          <w:rFonts w:cs="Arial"/>
        </w:rPr>
        <w:t xml:space="preserve"> </w:t>
      </w:r>
      <w:r w:rsidR="000A346C">
        <w:rPr>
          <w:rFonts w:cs="Arial"/>
        </w:rPr>
        <w:tab/>
      </w:r>
      <w:r w:rsidR="000A346C">
        <w:rPr>
          <w:rFonts w:cs="Arial"/>
        </w:rPr>
        <w:tab/>
      </w:r>
      <w:r w:rsidR="000A346C">
        <w:rPr>
          <w:rFonts w:cs="Arial"/>
        </w:rPr>
        <w:tab/>
      </w:r>
      <w:r w:rsidR="000A346C">
        <w:rPr>
          <w:rFonts w:cs="Arial"/>
        </w:rPr>
        <w:tab/>
      </w:r>
      <w:r w:rsidR="000A346C">
        <w:rPr>
          <w:rFonts w:cs="Arial"/>
        </w:rPr>
        <w:tab/>
      </w:r>
      <w:r w:rsidR="000A346C">
        <w:rPr>
          <w:rFonts w:cs="Arial"/>
        </w:rPr>
        <w:tab/>
      </w:r>
      <w:r w:rsidR="000A346C">
        <w:rPr>
          <w:rFonts w:cs="Arial"/>
        </w:rPr>
        <w:tab/>
        <w:t xml:space="preserve">                           </w:t>
      </w:r>
      <w:r w:rsidR="000A346C">
        <w:rPr>
          <w:rFonts w:eastAsia="Times New Roman" w:cs="Arial"/>
        </w:rPr>
        <w:t>1</w:t>
      </w:r>
      <w:proofErr w:type="gramStart"/>
      <w:r w:rsidR="000A346C">
        <w:rPr>
          <w:rFonts w:eastAsia="Times New Roman" w:cs="Arial"/>
        </w:rPr>
        <w:t xml:space="preserve">.  </w:t>
      </w:r>
      <w:r w:rsidR="00A02D38" w:rsidRPr="000A346C">
        <w:rPr>
          <w:rFonts w:cs="Arial"/>
        </w:rPr>
        <w:t>The</w:t>
      </w:r>
      <w:proofErr w:type="gramEnd"/>
      <w:r w:rsidR="00A02D38" w:rsidRPr="000A346C">
        <w:rPr>
          <w:rFonts w:cs="Arial"/>
        </w:rPr>
        <w:t xml:space="preserve"> </w:t>
      </w:r>
      <w:r w:rsidR="00D826B6" w:rsidRPr="000A346C">
        <w:rPr>
          <w:rFonts w:cs="Arial"/>
        </w:rPr>
        <w:t>end-of</w:t>
      </w:r>
      <w:r w:rsidR="007A60B6" w:rsidRPr="000A346C">
        <w:rPr>
          <w:rFonts w:cs="Arial"/>
        </w:rPr>
        <w:t>-</w:t>
      </w:r>
      <w:r w:rsidR="00A02D38" w:rsidRPr="000A346C">
        <w:rPr>
          <w:rFonts w:cs="Arial"/>
        </w:rPr>
        <w:t>class</w:t>
      </w:r>
      <w:r w:rsidR="00ED6F6F" w:rsidRPr="000A346C">
        <w:rPr>
          <w:rFonts w:cs="Arial"/>
        </w:rPr>
        <w:t xml:space="preserve"> assignment </w:t>
      </w:r>
      <w:r w:rsidR="00D826B6" w:rsidRPr="000A346C">
        <w:rPr>
          <w:rFonts w:cs="Arial"/>
        </w:rPr>
        <w:t xml:space="preserve">completed by each of the small groups </w:t>
      </w:r>
      <w:r w:rsidR="00ED6F6F" w:rsidRPr="000A346C">
        <w:rPr>
          <w:rFonts w:cs="Arial"/>
        </w:rPr>
        <w:t xml:space="preserve">is graded </w:t>
      </w:r>
      <w:r w:rsidR="00D826B6" w:rsidRPr="000A346C">
        <w:rPr>
          <w:rFonts w:cs="Arial"/>
        </w:rPr>
        <w:t xml:space="preserve">(pass/fail) </w:t>
      </w:r>
      <w:r w:rsidR="00ED6F6F" w:rsidRPr="000A346C">
        <w:rPr>
          <w:rFonts w:cs="Arial"/>
        </w:rPr>
        <w:t>by faculty</w:t>
      </w:r>
      <w:r w:rsidR="00D826B6" w:rsidRPr="000A346C">
        <w:rPr>
          <w:rFonts w:cs="Arial"/>
        </w:rPr>
        <w:t xml:space="preserve">. </w:t>
      </w:r>
      <w:r w:rsidR="00D51A82" w:rsidRPr="000A346C">
        <w:rPr>
          <w:rFonts w:cs="Arial"/>
        </w:rPr>
        <w:t xml:space="preserve">Each faculty member is assigned to a set of groups. </w:t>
      </w:r>
      <w:r w:rsidR="00D826B6" w:rsidRPr="000A346C">
        <w:rPr>
          <w:rFonts w:cs="Arial"/>
        </w:rPr>
        <w:t>S</w:t>
      </w:r>
      <w:r w:rsidR="00ED6F6F" w:rsidRPr="000A346C">
        <w:rPr>
          <w:rFonts w:cs="Arial"/>
        </w:rPr>
        <w:t xml:space="preserve">tudents are required to achieve a passing grade </w:t>
      </w:r>
      <w:r w:rsidR="00D826B6" w:rsidRPr="000A346C">
        <w:rPr>
          <w:rFonts w:cs="Arial"/>
        </w:rPr>
        <w:t xml:space="preserve">on the assignment as a requirement </w:t>
      </w:r>
      <w:r w:rsidR="00ED6F6F" w:rsidRPr="000A346C">
        <w:rPr>
          <w:rFonts w:cs="Arial"/>
        </w:rPr>
        <w:t xml:space="preserve">for successful completion of their respective </w:t>
      </w:r>
      <w:r w:rsidR="00D826B6" w:rsidRPr="000A346C">
        <w:rPr>
          <w:rFonts w:cs="Arial"/>
        </w:rPr>
        <w:t xml:space="preserve">professional </w:t>
      </w:r>
      <w:r w:rsidR="00ED6F6F" w:rsidRPr="000A346C">
        <w:rPr>
          <w:rFonts w:cs="Arial"/>
        </w:rPr>
        <w:t>courses</w:t>
      </w:r>
      <w:r w:rsidR="00D51A82" w:rsidRPr="000A346C">
        <w:rPr>
          <w:rFonts w:cs="Arial"/>
        </w:rPr>
        <w:t xml:space="preserve"> </w:t>
      </w:r>
      <w:r w:rsidR="00B86BA2" w:rsidRPr="000A346C">
        <w:rPr>
          <w:rFonts w:cs="Arial"/>
        </w:rPr>
        <w:t>(</w:t>
      </w:r>
      <w:r w:rsidR="00D47452" w:rsidRPr="000A346C">
        <w:rPr>
          <w:rFonts w:cs="Arial"/>
        </w:rPr>
        <w:t>s</w:t>
      </w:r>
      <w:r w:rsidR="00840EFF" w:rsidRPr="000A346C">
        <w:rPr>
          <w:rFonts w:cs="Arial"/>
        </w:rPr>
        <w:t xml:space="preserve">ee attached </w:t>
      </w:r>
      <w:r w:rsidR="009743E2" w:rsidRPr="000A346C">
        <w:rPr>
          <w:rFonts w:cs="Arial"/>
        </w:rPr>
        <w:t xml:space="preserve">assignment and </w:t>
      </w:r>
      <w:r w:rsidR="00840EFF" w:rsidRPr="000A346C">
        <w:rPr>
          <w:rFonts w:cs="Arial"/>
        </w:rPr>
        <w:t>rubric</w:t>
      </w:r>
      <w:r w:rsidR="00D47452" w:rsidRPr="000A346C">
        <w:rPr>
          <w:rFonts w:cs="Arial"/>
        </w:rPr>
        <w:t>)</w:t>
      </w:r>
      <w:r w:rsidR="00840EFF" w:rsidRPr="000A346C">
        <w:rPr>
          <w:rFonts w:cs="Arial"/>
        </w:rPr>
        <w:t>.</w:t>
      </w:r>
      <w:r w:rsidR="000A346C">
        <w:rPr>
          <w:rFonts w:eastAsia="Times New Roman" w:cs="Arial"/>
        </w:rPr>
        <w:t xml:space="preserve">  </w:t>
      </w:r>
      <w:r w:rsidR="000A346C">
        <w:rPr>
          <w:rFonts w:eastAsia="Times New Roman" w:cs="Arial"/>
        </w:rPr>
        <w:tab/>
      </w:r>
      <w:r w:rsidR="000A346C">
        <w:rPr>
          <w:rFonts w:eastAsia="Times New Roman" w:cs="Arial"/>
        </w:rPr>
        <w:tab/>
      </w:r>
      <w:r w:rsidR="000A346C">
        <w:rPr>
          <w:rFonts w:eastAsia="Times New Roman" w:cs="Arial"/>
        </w:rPr>
        <w:tab/>
      </w:r>
      <w:r w:rsidR="000A346C">
        <w:rPr>
          <w:rFonts w:eastAsia="Times New Roman" w:cs="Arial"/>
        </w:rPr>
        <w:tab/>
      </w:r>
      <w:r w:rsidR="000A346C">
        <w:rPr>
          <w:rFonts w:eastAsia="Times New Roman" w:cs="Arial"/>
        </w:rPr>
        <w:tab/>
      </w:r>
      <w:r w:rsidR="000A346C">
        <w:rPr>
          <w:rFonts w:eastAsia="Times New Roman" w:cs="Arial"/>
        </w:rPr>
        <w:tab/>
      </w:r>
      <w:r w:rsidR="000A346C">
        <w:rPr>
          <w:rFonts w:eastAsia="Times New Roman" w:cs="Arial"/>
        </w:rPr>
        <w:tab/>
      </w:r>
      <w:r w:rsidR="000A346C">
        <w:rPr>
          <w:rFonts w:eastAsia="Times New Roman" w:cs="Arial"/>
        </w:rPr>
        <w:tab/>
        <w:t xml:space="preserve">             2.  </w:t>
      </w:r>
      <w:r w:rsidR="00B86BA2" w:rsidRPr="000A346C">
        <w:rPr>
          <w:rFonts w:cs="Arial"/>
        </w:rPr>
        <w:t>Typical development and assessment concepts are also evaluated as part of mid-term and final exam for PT students</w:t>
      </w:r>
    </w:p>
    <w:p w:rsidR="000A346C" w:rsidRPr="00892409" w:rsidRDefault="000A346C" w:rsidP="000A346C">
      <w:pPr>
        <w:spacing w:after="0"/>
        <w:rPr>
          <w:b/>
        </w:rPr>
        <w:sectPr w:rsidR="000A346C" w:rsidRPr="00892409" w:rsidSect="000A346C">
          <w:pgSz w:w="15840" w:h="12240" w:orient="landscape"/>
          <w:pgMar w:top="1440" w:right="1440" w:bottom="1440" w:left="1440" w:header="720" w:footer="720" w:gutter="0"/>
          <w:cols w:space="720"/>
          <w:docGrid w:linePitch="360"/>
        </w:sectPr>
      </w:pPr>
    </w:p>
    <w:p w:rsidR="000A346C" w:rsidRPr="00892409" w:rsidRDefault="00F7329E" w:rsidP="00F7329E">
      <w:pPr>
        <w:spacing w:after="0"/>
        <w:ind w:left="2160" w:firstLine="720"/>
        <w:rPr>
          <w:b/>
        </w:rPr>
      </w:pPr>
      <w:r>
        <w:rPr>
          <w:b/>
        </w:rPr>
        <w:lastRenderedPageBreak/>
        <w:t>Appendix A</w:t>
      </w:r>
      <w:r>
        <w:rPr>
          <w:b/>
        </w:rPr>
        <w:tab/>
      </w:r>
      <w:proofErr w:type="spellStart"/>
      <w:r w:rsidR="000A346C" w:rsidRPr="00892409">
        <w:rPr>
          <w:b/>
        </w:rPr>
        <w:t>InterProfessional</w:t>
      </w:r>
      <w:proofErr w:type="spellEnd"/>
      <w:r w:rsidR="000A346C" w:rsidRPr="00892409">
        <w:rPr>
          <w:b/>
        </w:rPr>
        <w:t xml:space="preserve"> Infant Development (IDD) Day 2015</w:t>
      </w:r>
    </w:p>
    <w:p w:rsidR="000A346C" w:rsidRPr="00892409" w:rsidRDefault="000A346C" w:rsidP="000A346C">
      <w:pPr>
        <w:spacing w:after="0"/>
        <w:jc w:val="center"/>
        <w:rPr>
          <w:i/>
        </w:rPr>
      </w:pPr>
      <w:r w:rsidRPr="00892409">
        <w:rPr>
          <w:i/>
        </w:rPr>
        <w:t>Student Learning Activity</w:t>
      </w:r>
    </w:p>
    <w:p w:rsidR="000A346C" w:rsidRPr="00892409" w:rsidRDefault="000A346C" w:rsidP="000A346C">
      <w:pPr>
        <w:spacing w:after="0"/>
        <w:jc w:val="center"/>
        <w:rPr>
          <w:i/>
        </w:rPr>
      </w:pPr>
      <w:r w:rsidRPr="00892409">
        <w:rPr>
          <w:b/>
        </w:rPr>
        <w:t xml:space="preserve">INSTRUCTIONS </w:t>
      </w:r>
      <w:r w:rsidRPr="00892409">
        <w:rPr>
          <w:i/>
        </w:rPr>
        <w:t xml:space="preserve">– Please be sure to post the completed chart and suggestions to the IDD D2L Dropbox by the end of today’s session.  </w:t>
      </w:r>
    </w:p>
    <w:p w:rsidR="000A346C" w:rsidRPr="00892409" w:rsidRDefault="000A346C" w:rsidP="000A346C">
      <w:pPr>
        <w:spacing w:after="0"/>
        <w:jc w:val="center"/>
      </w:pPr>
      <w:r w:rsidRPr="00892409">
        <w:t xml:space="preserve">Use bullet points to complete the charts below.  There may be many areas where your disciplines provide duplicate information in these charts.  </w:t>
      </w:r>
    </w:p>
    <w:p w:rsidR="000A346C" w:rsidRPr="00892409" w:rsidRDefault="000A346C" w:rsidP="000A346C">
      <w:pPr>
        <w:spacing w:after="0"/>
        <w:jc w:val="center"/>
      </w:pPr>
      <w:r w:rsidRPr="00892409">
        <w:t>However, there may also be unique information provided by only one discipline. Using an interdisciplinary approach provides a holistic perspective.</w:t>
      </w:r>
    </w:p>
    <w:p w:rsidR="000A346C" w:rsidRPr="00892409" w:rsidRDefault="000A346C" w:rsidP="000A346C">
      <w:pPr>
        <w:spacing w:after="0"/>
        <w:jc w:val="center"/>
      </w:pPr>
    </w:p>
    <w:tbl>
      <w:tblPr>
        <w:tblStyle w:val="TableGrid"/>
        <w:tblW w:w="0" w:type="auto"/>
        <w:tblLook w:val="04A0" w:firstRow="1" w:lastRow="0" w:firstColumn="1" w:lastColumn="0" w:noHBand="0" w:noVBand="1"/>
      </w:tblPr>
      <w:tblGrid>
        <w:gridCol w:w="1482"/>
        <w:gridCol w:w="3694"/>
        <w:gridCol w:w="3925"/>
        <w:gridCol w:w="3849"/>
      </w:tblGrid>
      <w:tr w:rsidR="000A346C" w:rsidRPr="00892409" w:rsidTr="007A377C">
        <w:tc>
          <w:tcPr>
            <w:tcW w:w="1548" w:type="dxa"/>
            <w:shd w:val="clear" w:color="auto" w:fill="B4C6E7" w:themeFill="accent5" w:themeFillTint="66"/>
          </w:tcPr>
          <w:p w:rsidR="000A346C" w:rsidRPr="00892409" w:rsidRDefault="000A346C" w:rsidP="007A377C">
            <w:pPr>
              <w:jc w:val="center"/>
              <w:rPr>
                <w:b/>
              </w:rPr>
            </w:pPr>
            <w:r w:rsidRPr="00892409">
              <w:rPr>
                <w:b/>
              </w:rPr>
              <w:t>Discipline</w:t>
            </w:r>
          </w:p>
        </w:tc>
        <w:tc>
          <w:tcPr>
            <w:tcW w:w="4140" w:type="dxa"/>
            <w:shd w:val="clear" w:color="auto" w:fill="B4C6E7" w:themeFill="accent5" w:themeFillTint="66"/>
          </w:tcPr>
          <w:p w:rsidR="000A346C" w:rsidRPr="00892409" w:rsidRDefault="000A346C" w:rsidP="007A377C">
            <w:pPr>
              <w:jc w:val="center"/>
              <w:rPr>
                <w:b/>
              </w:rPr>
            </w:pPr>
            <w:r w:rsidRPr="00892409">
              <w:rPr>
                <w:b/>
              </w:rPr>
              <w:t>Identify the Child’s Strengths</w:t>
            </w:r>
          </w:p>
        </w:tc>
        <w:tc>
          <w:tcPr>
            <w:tcW w:w="4410" w:type="dxa"/>
            <w:shd w:val="clear" w:color="auto" w:fill="B4C6E7" w:themeFill="accent5" w:themeFillTint="66"/>
          </w:tcPr>
          <w:p w:rsidR="000A346C" w:rsidRPr="00892409" w:rsidRDefault="000A346C" w:rsidP="007A377C">
            <w:pPr>
              <w:jc w:val="center"/>
              <w:rPr>
                <w:b/>
              </w:rPr>
            </w:pPr>
            <w:r w:rsidRPr="00892409">
              <w:rPr>
                <w:b/>
              </w:rPr>
              <w:t>Family / Caregiver Strengths</w:t>
            </w:r>
          </w:p>
        </w:tc>
        <w:tc>
          <w:tcPr>
            <w:tcW w:w="4230" w:type="dxa"/>
            <w:shd w:val="clear" w:color="auto" w:fill="B4C6E7" w:themeFill="accent5" w:themeFillTint="66"/>
          </w:tcPr>
          <w:p w:rsidR="000A346C" w:rsidRPr="00892409" w:rsidRDefault="000A346C" w:rsidP="007A377C">
            <w:pPr>
              <w:jc w:val="center"/>
              <w:rPr>
                <w:b/>
              </w:rPr>
            </w:pPr>
            <w:r w:rsidRPr="00892409">
              <w:rPr>
                <w:b/>
              </w:rPr>
              <w:t>Strengths of Living Environment(s)</w:t>
            </w:r>
          </w:p>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PA</w:t>
            </w:r>
          </w:p>
          <w:p w:rsidR="000A346C" w:rsidRPr="00892409" w:rsidRDefault="000A346C" w:rsidP="007A377C">
            <w:pPr>
              <w:jc w:val="center"/>
            </w:pPr>
          </w:p>
          <w:p w:rsidR="000A346C" w:rsidRPr="00892409" w:rsidRDefault="000A346C" w:rsidP="007A377C">
            <w:pPr>
              <w:jc w:val="center"/>
            </w:pPr>
          </w:p>
        </w:tc>
        <w:tc>
          <w:tcPr>
            <w:tcW w:w="4140" w:type="dxa"/>
          </w:tcPr>
          <w:p w:rsidR="000A346C" w:rsidRPr="00892409" w:rsidRDefault="000A346C" w:rsidP="007A377C"/>
        </w:tc>
        <w:tc>
          <w:tcPr>
            <w:tcW w:w="4410" w:type="dxa"/>
          </w:tcPr>
          <w:p w:rsidR="000A346C" w:rsidRPr="00892409" w:rsidRDefault="000A346C" w:rsidP="007A377C"/>
        </w:tc>
        <w:tc>
          <w:tcPr>
            <w:tcW w:w="423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NSG</w:t>
            </w:r>
          </w:p>
          <w:p w:rsidR="000A346C" w:rsidRPr="00892409" w:rsidRDefault="000A346C" w:rsidP="007A377C">
            <w:pPr>
              <w:jc w:val="center"/>
            </w:pPr>
          </w:p>
          <w:p w:rsidR="000A346C" w:rsidRPr="00892409" w:rsidRDefault="000A346C" w:rsidP="007A377C">
            <w:pPr>
              <w:jc w:val="center"/>
            </w:pPr>
          </w:p>
        </w:tc>
        <w:tc>
          <w:tcPr>
            <w:tcW w:w="4140" w:type="dxa"/>
          </w:tcPr>
          <w:p w:rsidR="000A346C" w:rsidRPr="00892409" w:rsidRDefault="000A346C" w:rsidP="007A377C"/>
        </w:tc>
        <w:tc>
          <w:tcPr>
            <w:tcW w:w="4410" w:type="dxa"/>
          </w:tcPr>
          <w:p w:rsidR="000A346C" w:rsidRPr="00892409" w:rsidRDefault="000A346C" w:rsidP="007A377C"/>
        </w:tc>
        <w:tc>
          <w:tcPr>
            <w:tcW w:w="423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PT</w:t>
            </w:r>
          </w:p>
          <w:p w:rsidR="000A346C" w:rsidRPr="00892409" w:rsidRDefault="000A346C" w:rsidP="007A377C">
            <w:pPr>
              <w:jc w:val="center"/>
            </w:pPr>
          </w:p>
          <w:p w:rsidR="000A346C" w:rsidRPr="00892409" w:rsidRDefault="000A346C" w:rsidP="007A377C">
            <w:pPr>
              <w:jc w:val="center"/>
            </w:pPr>
          </w:p>
        </w:tc>
        <w:tc>
          <w:tcPr>
            <w:tcW w:w="4140" w:type="dxa"/>
          </w:tcPr>
          <w:p w:rsidR="000A346C" w:rsidRPr="00892409" w:rsidRDefault="000A346C" w:rsidP="007A377C"/>
        </w:tc>
        <w:tc>
          <w:tcPr>
            <w:tcW w:w="4410" w:type="dxa"/>
          </w:tcPr>
          <w:p w:rsidR="000A346C" w:rsidRPr="00892409" w:rsidRDefault="000A346C" w:rsidP="007A377C"/>
        </w:tc>
        <w:tc>
          <w:tcPr>
            <w:tcW w:w="423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CSD</w:t>
            </w:r>
          </w:p>
          <w:p w:rsidR="000A346C" w:rsidRPr="00892409" w:rsidRDefault="000A346C" w:rsidP="007A377C">
            <w:pPr>
              <w:jc w:val="center"/>
            </w:pPr>
          </w:p>
          <w:p w:rsidR="000A346C" w:rsidRPr="00892409" w:rsidRDefault="000A346C" w:rsidP="007A377C">
            <w:pPr>
              <w:jc w:val="center"/>
            </w:pPr>
          </w:p>
        </w:tc>
        <w:tc>
          <w:tcPr>
            <w:tcW w:w="4140" w:type="dxa"/>
          </w:tcPr>
          <w:p w:rsidR="000A346C" w:rsidRPr="00892409" w:rsidRDefault="000A346C" w:rsidP="007A377C"/>
        </w:tc>
        <w:tc>
          <w:tcPr>
            <w:tcW w:w="4410" w:type="dxa"/>
          </w:tcPr>
          <w:p w:rsidR="000A346C" w:rsidRPr="00892409" w:rsidRDefault="000A346C" w:rsidP="007A377C"/>
        </w:tc>
        <w:tc>
          <w:tcPr>
            <w:tcW w:w="423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OT</w:t>
            </w:r>
          </w:p>
          <w:p w:rsidR="000A346C" w:rsidRPr="00892409" w:rsidRDefault="000A346C" w:rsidP="007A377C">
            <w:pPr>
              <w:jc w:val="center"/>
            </w:pPr>
          </w:p>
          <w:p w:rsidR="000A346C" w:rsidRPr="00892409" w:rsidRDefault="000A346C" w:rsidP="007A377C">
            <w:pPr>
              <w:jc w:val="center"/>
            </w:pPr>
          </w:p>
        </w:tc>
        <w:tc>
          <w:tcPr>
            <w:tcW w:w="4140" w:type="dxa"/>
          </w:tcPr>
          <w:p w:rsidR="000A346C" w:rsidRPr="00892409" w:rsidRDefault="000A346C" w:rsidP="007A377C"/>
        </w:tc>
        <w:tc>
          <w:tcPr>
            <w:tcW w:w="4410" w:type="dxa"/>
          </w:tcPr>
          <w:p w:rsidR="000A346C" w:rsidRPr="00892409" w:rsidRDefault="000A346C" w:rsidP="007A377C"/>
        </w:tc>
        <w:tc>
          <w:tcPr>
            <w:tcW w:w="4230" w:type="dxa"/>
          </w:tcPr>
          <w:p w:rsidR="000A346C" w:rsidRPr="00892409" w:rsidRDefault="000A346C" w:rsidP="007A377C"/>
        </w:tc>
      </w:tr>
    </w:tbl>
    <w:p w:rsidR="000A346C" w:rsidRPr="00892409" w:rsidRDefault="000A346C" w:rsidP="000A346C">
      <w:pPr>
        <w:spacing w:after="0"/>
      </w:pPr>
    </w:p>
    <w:tbl>
      <w:tblPr>
        <w:tblStyle w:val="TableGrid"/>
        <w:tblW w:w="0" w:type="auto"/>
        <w:tblLook w:val="04A0" w:firstRow="1" w:lastRow="0" w:firstColumn="1" w:lastColumn="0" w:noHBand="0" w:noVBand="1"/>
      </w:tblPr>
      <w:tblGrid>
        <w:gridCol w:w="1489"/>
        <w:gridCol w:w="5538"/>
        <w:gridCol w:w="5923"/>
      </w:tblGrid>
      <w:tr w:rsidR="000A346C" w:rsidRPr="00892409" w:rsidTr="007A377C">
        <w:tc>
          <w:tcPr>
            <w:tcW w:w="14418" w:type="dxa"/>
            <w:gridSpan w:val="3"/>
            <w:shd w:val="clear" w:color="auto" w:fill="B4C6E7" w:themeFill="accent5" w:themeFillTint="66"/>
          </w:tcPr>
          <w:p w:rsidR="000A346C" w:rsidRPr="00892409" w:rsidRDefault="000A346C" w:rsidP="007A377C">
            <w:pPr>
              <w:jc w:val="center"/>
              <w:rPr>
                <w:b/>
              </w:rPr>
            </w:pPr>
            <w:r w:rsidRPr="00892409">
              <w:rPr>
                <w:b/>
              </w:rPr>
              <w:lastRenderedPageBreak/>
              <w:t>POTENTIAL AREAS OF DIFFICULTY</w:t>
            </w:r>
          </w:p>
          <w:p w:rsidR="000A346C" w:rsidRPr="00892409" w:rsidRDefault="000A346C" w:rsidP="007A377C">
            <w:pPr>
              <w:jc w:val="center"/>
              <w:rPr>
                <w:b/>
              </w:rPr>
            </w:pPr>
          </w:p>
        </w:tc>
      </w:tr>
      <w:tr w:rsidR="000A346C" w:rsidRPr="00892409" w:rsidTr="007A377C">
        <w:tc>
          <w:tcPr>
            <w:tcW w:w="1548" w:type="dxa"/>
            <w:shd w:val="clear" w:color="auto" w:fill="B4C6E7" w:themeFill="accent5" w:themeFillTint="66"/>
          </w:tcPr>
          <w:p w:rsidR="000A346C" w:rsidRPr="00892409" w:rsidRDefault="000A346C" w:rsidP="007A377C">
            <w:pPr>
              <w:jc w:val="center"/>
              <w:rPr>
                <w:b/>
              </w:rPr>
            </w:pPr>
            <w:r w:rsidRPr="00892409">
              <w:rPr>
                <w:b/>
              </w:rPr>
              <w:t>Discipline</w:t>
            </w:r>
          </w:p>
        </w:tc>
        <w:tc>
          <w:tcPr>
            <w:tcW w:w="6210" w:type="dxa"/>
            <w:shd w:val="clear" w:color="auto" w:fill="B4C6E7" w:themeFill="accent5" w:themeFillTint="66"/>
          </w:tcPr>
          <w:p w:rsidR="000A346C" w:rsidRPr="00892409" w:rsidRDefault="000A346C" w:rsidP="007A377C">
            <w:pPr>
              <w:jc w:val="center"/>
              <w:rPr>
                <w:b/>
              </w:rPr>
            </w:pPr>
            <w:r w:rsidRPr="00892409">
              <w:rPr>
                <w:b/>
              </w:rPr>
              <w:t>Expressed by Parent / Caregiver</w:t>
            </w:r>
          </w:p>
        </w:tc>
        <w:tc>
          <w:tcPr>
            <w:tcW w:w="6660" w:type="dxa"/>
            <w:shd w:val="clear" w:color="auto" w:fill="B4C6E7" w:themeFill="accent5" w:themeFillTint="66"/>
          </w:tcPr>
          <w:p w:rsidR="000A346C" w:rsidRPr="00892409" w:rsidRDefault="000A346C" w:rsidP="007A377C">
            <w:pPr>
              <w:jc w:val="center"/>
              <w:rPr>
                <w:b/>
              </w:rPr>
            </w:pPr>
            <w:r w:rsidRPr="00892409">
              <w:rPr>
                <w:b/>
              </w:rPr>
              <w:t>As Observed in Today’s Session</w:t>
            </w:r>
          </w:p>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PA</w:t>
            </w:r>
          </w:p>
          <w:p w:rsidR="000A346C" w:rsidRPr="00892409" w:rsidRDefault="000A346C" w:rsidP="007A377C">
            <w:pPr>
              <w:jc w:val="center"/>
            </w:pPr>
          </w:p>
          <w:p w:rsidR="000A346C" w:rsidRPr="00892409" w:rsidRDefault="000A346C" w:rsidP="007A377C">
            <w:pPr>
              <w:jc w:val="center"/>
            </w:pPr>
          </w:p>
        </w:tc>
        <w:tc>
          <w:tcPr>
            <w:tcW w:w="6210" w:type="dxa"/>
          </w:tcPr>
          <w:p w:rsidR="000A346C" w:rsidRPr="00892409" w:rsidRDefault="000A346C" w:rsidP="007A377C"/>
        </w:tc>
        <w:tc>
          <w:tcPr>
            <w:tcW w:w="666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NSG</w:t>
            </w: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tc>
        <w:tc>
          <w:tcPr>
            <w:tcW w:w="6210" w:type="dxa"/>
          </w:tcPr>
          <w:p w:rsidR="000A346C" w:rsidRPr="00892409" w:rsidRDefault="000A346C" w:rsidP="007A377C"/>
        </w:tc>
        <w:tc>
          <w:tcPr>
            <w:tcW w:w="666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PT</w:t>
            </w: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tc>
        <w:tc>
          <w:tcPr>
            <w:tcW w:w="6210" w:type="dxa"/>
          </w:tcPr>
          <w:p w:rsidR="000A346C" w:rsidRPr="00892409" w:rsidRDefault="000A346C" w:rsidP="007A377C"/>
        </w:tc>
        <w:tc>
          <w:tcPr>
            <w:tcW w:w="666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CSD</w:t>
            </w: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tc>
        <w:tc>
          <w:tcPr>
            <w:tcW w:w="6210" w:type="dxa"/>
          </w:tcPr>
          <w:p w:rsidR="000A346C" w:rsidRPr="00892409" w:rsidRDefault="000A346C" w:rsidP="007A377C"/>
        </w:tc>
        <w:tc>
          <w:tcPr>
            <w:tcW w:w="6660" w:type="dxa"/>
          </w:tcPr>
          <w:p w:rsidR="000A346C" w:rsidRPr="00892409" w:rsidRDefault="000A346C" w:rsidP="007A377C"/>
        </w:tc>
      </w:tr>
      <w:tr w:rsidR="000A346C" w:rsidRPr="00892409" w:rsidTr="007A377C">
        <w:tc>
          <w:tcPr>
            <w:tcW w:w="1548" w:type="dxa"/>
          </w:tcPr>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r w:rsidRPr="00892409">
              <w:t>OT</w:t>
            </w:r>
          </w:p>
          <w:p w:rsidR="000A346C" w:rsidRPr="00892409" w:rsidRDefault="000A346C" w:rsidP="007A377C">
            <w:pPr>
              <w:jc w:val="center"/>
            </w:pPr>
          </w:p>
          <w:p w:rsidR="000A346C" w:rsidRPr="00892409" w:rsidRDefault="000A346C" w:rsidP="007A377C">
            <w:pPr>
              <w:jc w:val="center"/>
            </w:pPr>
          </w:p>
          <w:p w:rsidR="000A346C" w:rsidRPr="00892409" w:rsidRDefault="000A346C" w:rsidP="007A377C">
            <w:pPr>
              <w:jc w:val="center"/>
            </w:pPr>
          </w:p>
        </w:tc>
        <w:tc>
          <w:tcPr>
            <w:tcW w:w="6210" w:type="dxa"/>
          </w:tcPr>
          <w:p w:rsidR="000A346C" w:rsidRPr="00892409" w:rsidRDefault="000A346C" w:rsidP="007A377C"/>
        </w:tc>
        <w:tc>
          <w:tcPr>
            <w:tcW w:w="6660" w:type="dxa"/>
          </w:tcPr>
          <w:p w:rsidR="000A346C" w:rsidRPr="00892409" w:rsidRDefault="000A346C" w:rsidP="007A377C"/>
        </w:tc>
      </w:tr>
    </w:tbl>
    <w:p w:rsidR="000A346C" w:rsidRPr="00892409" w:rsidRDefault="000A346C" w:rsidP="000A346C">
      <w:r w:rsidRPr="00892409">
        <w:rPr>
          <w:b/>
        </w:rPr>
        <w:t>INSTRUCTIONS</w:t>
      </w:r>
      <w:r w:rsidRPr="00892409">
        <w:t xml:space="preserve"> (continued):  Notice where disciplines are similar and differ in the information compiled on these charts.  Using your completed charts, prioritize strengths and needs by </w:t>
      </w:r>
      <w:r w:rsidRPr="00892409">
        <w:rPr>
          <w:highlight w:val="yellow"/>
        </w:rPr>
        <w:t>highlighting</w:t>
      </w:r>
      <w:r w:rsidRPr="00892409">
        <w:t xml:space="preserve"> the text on the document.  Then </w:t>
      </w:r>
      <w:r w:rsidRPr="00892409">
        <w:rPr>
          <w:b/>
        </w:rPr>
        <w:t>identify 2-3 suggestions/activities</w:t>
      </w:r>
      <w:r w:rsidRPr="00892409">
        <w:t xml:space="preserve"> to continue to foster development in the child.    </w:t>
      </w:r>
    </w:p>
    <w:p w:rsidR="000A346C" w:rsidRPr="00892409" w:rsidRDefault="000A346C" w:rsidP="000A346C">
      <w:r w:rsidRPr="00892409">
        <w:t>For example – A mother tells you that her infant does not like tummy time.  The child cries and fusses until the mother picks her up to soothe her.  You may recommend using a pillow or towel roll across the child’s chest and under their arms and encourage lifting her head via auditory stimulus from a toy.</w:t>
      </w:r>
    </w:p>
    <w:p w:rsidR="000A346C" w:rsidRPr="00892409" w:rsidRDefault="000A346C" w:rsidP="000A346C">
      <w:r w:rsidRPr="00892409">
        <w:t>Use text to provide a brief description, but you can also feel free to include images to help describe your recommendations more clearly or succinctly as you might in patient education materials.  Suggestions should be a combined interdisciplinary effort as would occur from a team-based approach to care. Check off the disciplines contributing to each of the suggestions</w:t>
      </w:r>
    </w:p>
    <w:p w:rsidR="000A346C" w:rsidRPr="00892409" w:rsidRDefault="000A346C" w:rsidP="000A346C">
      <w:r w:rsidRPr="00892409">
        <w:br w:type="page"/>
      </w:r>
    </w:p>
    <w:p w:rsidR="000A346C" w:rsidRPr="00892409" w:rsidRDefault="000A346C" w:rsidP="000A346C"/>
    <w:p w:rsidR="000A346C" w:rsidRPr="00892409" w:rsidRDefault="000A346C" w:rsidP="000A346C">
      <w:pPr>
        <w:spacing w:after="0"/>
      </w:pPr>
      <w:r w:rsidRPr="00892409">
        <w:t>Your Interdisciplinary Team’s Suggestions:</w:t>
      </w:r>
    </w:p>
    <w:tbl>
      <w:tblPr>
        <w:tblStyle w:val="TableGrid"/>
        <w:tblW w:w="0" w:type="auto"/>
        <w:tblLook w:val="04A0" w:firstRow="1" w:lastRow="0" w:firstColumn="1" w:lastColumn="0" w:noHBand="0" w:noVBand="1"/>
      </w:tblPr>
      <w:tblGrid>
        <w:gridCol w:w="1749"/>
        <w:gridCol w:w="201"/>
        <w:gridCol w:w="11000"/>
      </w:tblGrid>
      <w:tr w:rsidR="000A346C" w:rsidRPr="00892409" w:rsidTr="007A377C">
        <w:trPr>
          <w:cantSplit/>
          <w:trHeight w:val="1134"/>
        </w:trPr>
        <w:tc>
          <w:tcPr>
            <w:tcW w:w="1318" w:type="dxa"/>
            <w:gridSpan w:val="2"/>
            <w:textDirection w:val="btLr"/>
          </w:tcPr>
          <w:p w:rsidR="000A346C" w:rsidRPr="00892409" w:rsidRDefault="000A346C" w:rsidP="007A377C">
            <w:pPr>
              <w:ind w:left="113" w:right="113"/>
              <w:jc w:val="center"/>
              <w:rPr>
                <w:b/>
              </w:rPr>
            </w:pPr>
            <w:r w:rsidRPr="00892409">
              <w:rPr>
                <w:b/>
              </w:rPr>
              <w:lastRenderedPageBreak/>
              <w:t>Suggestion #1:</w:t>
            </w:r>
          </w:p>
          <w:p w:rsidR="000A346C" w:rsidRPr="00892409" w:rsidRDefault="000A346C" w:rsidP="007A377C">
            <w:pPr>
              <w:ind w:left="113" w:right="113"/>
              <w:jc w:val="center"/>
            </w:pPr>
          </w:p>
          <w:p w:rsidR="000A346C" w:rsidRPr="00892409" w:rsidRDefault="000A346C" w:rsidP="007A377C">
            <w:pPr>
              <w:ind w:left="113" w:right="113"/>
              <w:jc w:val="center"/>
            </w:pPr>
            <w:r w:rsidRPr="00892409">
              <w:t>Contributing Disciplines (all relevant check boxes)    □ PA    □ NSG     □ PT     □ CSD      □ OT</w:t>
            </w:r>
          </w:p>
        </w:tc>
        <w:tc>
          <w:tcPr>
            <w:tcW w:w="13298" w:type="dxa"/>
          </w:tcPr>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tc>
      </w:tr>
      <w:tr w:rsidR="000A346C" w:rsidRPr="00892409" w:rsidTr="007A377C">
        <w:trPr>
          <w:cantSplit/>
          <w:trHeight w:val="11240"/>
        </w:trPr>
        <w:tc>
          <w:tcPr>
            <w:tcW w:w="1075" w:type="dxa"/>
            <w:textDirection w:val="btLr"/>
            <w:vAlign w:val="bottom"/>
          </w:tcPr>
          <w:p w:rsidR="000A346C" w:rsidRPr="00892409" w:rsidRDefault="000A346C" w:rsidP="007A377C">
            <w:pPr>
              <w:ind w:left="113" w:right="113"/>
              <w:jc w:val="center"/>
              <w:rPr>
                <w:b/>
              </w:rPr>
            </w:pPr>
            <w:r w:rsidRPr="00892409">
              <w:rPr>
                <w:b/>
              </w:rPr>
              <w:lastRenderedPageBreak/>
              <w:t xml:space="preserve">Suggestion #2: </w:t>
            </w:r>
          </w:p>
          <w:p w:rsidR="000A346C" w:rsidRPr="00892409" w:rsidRDefault="000A346C" w:rsidP="007A377C">
            <w:pPr>
              <w:ind w:left="113" w:right="113"/>
              <w:jc w:val="center"/>
            </w:pPr>
            <w:r w:rsidRPr="00892409">
              <w:t>Contributing Disciplines (all relevant check boxes)    □ PA    □ NSG     □ PT     □ CSD      □ OT</w:t>
            </w:r>
          </w:p>
        </w:tc>
        <w:tc>
          <w:tcPr>
            <w:tcW w:w="13541" w:type="dxa"/>
            <w:gridSpan w:val="2"/>
          </w:tcPr>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tc>
      </w:tr>
      <w:tr w:rsidR="000A346C" w:rsidRPr="00892409" w:rsidTr="007A377C">
        <w:trPr>
          <w:cantSplit/>
          <w:trHeight w:val="9980"/>
        </w:trPr>
        <w:tc>
          <w:tcPr>
            <w:tcW w:w="1075" w:type="dxa"/>
            <w:textDirection w:val="btLr"/>
          </w:tcPr>
          <w:p w:rsidR="000A346C" w:rsidRPr="00892409" w:rsidRDefault="000A346C" w:rsidP="007A377C">
            <w:pPr>
              <w:ind w:left="113" w:right="113"/>
              <w:jc w:val="center"/>
              <w:rPr>
                <w:b/>
              </w:rPr>
            </w:pPr>
            <w:r w:rsidRPr="00892409">
              <w:rPr>
                <w:b/>
              </w:rPr>
              <w:lastRenderedPageBreak/>
              <w:t>Suggestion #3:</w:t>
            </w:r>
          </w:p>
          <w:p w:rsidR="000A346C" w:rsidRPr="00892409" w:rsidRDefault="000A346C" w:rsidP="007A377C">
            <w:pPr>
              <w:ind w:left="113" w:right="113"/>
              <w:jc w:val="center"/>
              <w:rPr>
                <w:b/>
              </w:rPr>
            </w:pPr>
            <w:r w:rsidRPr="00892409">
              <w:rPr>
                <w:b/>
              </w:rPr>
              <w:t xml:space="preserve"> </w:t>
            </w:r>
            <w:r w:rsidRPr="00892409">
              <w:t>Contributing Disciplines (all relevant check boxes)    □ PA    □ NSG     □ PT     □ CSD      □ OT</w:t>
            </w:r>
          </w:p>
          <w:p w:rsidR="000A346C" w:rsidRPr="00892409" w:rsidRDefault="000A346C" w:rsidP="007A377C">
            <w:pPr>
              <w:ind w:left="113" w:right="113"/>
              <w:jc w:val="center"/>
            </w:pPr>
          </w:p>
          <w:p w:rsidR="000A346C" w:rsidRPr="00892409" w:rsidRDefault="000A346C" w:rsidP="007A377C">
            <w:pPr>
              <w:ind w:left="113" w:right="113"/>
              <w:jc w:val="center"/>
            </w:pPr>
          </w:p>
        </w:tc>
        <w:tc>
          <w:tcPr>
            <w:tcW w:w="13541" w:type="dxa"/>
            <w:gridSpan w:val="2"/>
          </w:tcPr>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p w:rsidR="000A346C" w:rsidRPr="00892409" w:rsidRDefault="000A346C" w:rsidP="007A377C"/>
        </w:tc>
      </w:tr>
    </w:tbl>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rPr>
          <w:b/>
          <w:u w:val="single"/>
        </w:rPr>
      </w:pPr>
      <w:r w:rsidRPr="00892409">
        <w:rPr>
          <w:b/>
          <w:u w:val="single"/>
        </w:rPr>
        <w:t>For Group Discussion:  (</w:t>
      </w:r>
      <w:r w:rsidRPr="00892409">
        <w:t>Each group discusses and submits one group reflection described below)</w:t>
      </w:r>
    </w:p>
    <w:p w:rsidR="000A346C" w:rsidRPr="00892409" w:rsidRDefault="000A346C" w:rsidP="000A346C">
      <w:pPr>
        <w:spacing w:after="0"/>
        <w:rPr>
          <w:b/>
          <w:i/>
        </w:rPr>
      </w:pPr>
      <w:r w:rsidRPr="00892409">
        <w:rPr>
          <w:b/>
          <w:i/>
        </w:rPr>
        <w:t xml:space="preserve"> Consider how your perspectives and previous understanding of </w:t>
      </w:r>
      <w:proofErr w:type="spellStart"/>
      <w:r w:rsidRPr="00892409">
        <w:rPr>
          <w:b/>
          <w:i/>
        </w:rPr>
        <w:t>interprofessional</w:t>
      </w:r>
      <w:proofErr w:type="spellEnd"/>
      <w:r w:rsidRPr="00892409">
        <w:rPr>
          <w:b/>
          <w:i/>
        </w:rPr>
        <w:t xml:space="preserve"> collaboration may have changed or further developed as part of IDD. </w:t>
      </w:r>
    </w:p>
    <w:p w:rsidR="000A346C" w:rsidRPr="00892409" w:rsidRDefault="000A346C" w:rsidP="000A346C">
      <w:pPr>
        <w:spacing w:after="0"/>
        <w:rPr>
          <w:b/>
          <w:i/>
        </w:rPr>
      </w:pPr>
      <w:r w:rsidRPr="00892409">
        <w:rPr>
          <w:b/>
          <w:i/>
        </w:rPr>
        <w:t xml:space="preserve">Describe in writing how the various aspects of the learning activities (pre class activities, development assessments during IDD, group assignment, </w:t>
      </w:r>
      <w:proofErr w:type="spellStart"/>
      <w:r w:rsidRPr="00892409">
        <w:rPr>
          <w:b/>
          <w:i/>
        </w:rPr>
        <w:t>etc</w:t>
      </w:r>
      <w:proofErr w:type="spellEnd"/>
      <w:proofErr w:type="gramStart"/>
      <w:r w:rsidRPr="00892409">
        <w:rPr>
          <w:b/>
          <w:i/>
        </w:rPr>
        <w:t>)  influenced</w:t>
      </w:r>
      <w:proofErr w:type="gramEnd"/>
      <w:r w:rsidRPr="00892409">
        <w:rPr>
          <w:b/>
          <w:i/>
        </w:rPr>
        <w:t xml:space="preserve"> your learning (3-4 sentences minimum):</w:t>
      </w:r>
    </w:p>
    <w:p w:rsidR="000A346C" w:rsidRPr="00892409" w:rsidRDefault="000A346C" w:rsidP="000A346C">
      <w:pPr>
        <w:spacing w:after="0"/>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p>
    <w:p w:rsidR="000A346C" w:rsidRPr="00892409" w:rsidRDefault="000A346C" w:rsidP="000A346C">
      <w:pPr>
        <w:spacing w:after="0"/>
        <w:jc w:val="center"/>
        <w:rPr>
          <w:b/>
          <w:i/>
        </w:rPr>
      </w:pPr>
      <w:r w:rsidRPr="00892409">
        <w:rPr>
          <w:b/>
          <w:i/>
        </w:rPr>
        <w:t xml:space="preserve"> </w:t>
      </w:r>
    </w:p>
    <w:p w:rsidR="000A346C" w:rsidRPr="00892409" w:rsidRDefault="000A346C" w:rsidP="000A346C">
      <w:pPr>
        <w:spacing w:after="0"/>
        <w:jc w:val="center"/>
        <w:rPr>
          <w:b/>
          <w:i/>
        </w:rPr>
      </w:pPr>
      <w:r w:rsidRPr="00892409">
        <w:rPr>
          <w:b/>
          <w:i/>
        </w:rPr>
        <w:t>********Please be sure to post the completed chart and suggestions to the IDD D2L Dropbox by the end of today’s session</w:t>
      </w:r>
      <w:proofErr w:type="gramStart"/>
      <w:r w:rsidRPr="00892409">
        <w:rPr>
          <w:b/>
          <w:i/>
        </w:rPr>
        <w:t>.*</w:t>
      </w:r>
      <w:proofErr w:type="gramEnd"/>
      <w:r w:rsidRPr="00892409">
        <w:rPr>
          <w:b/>
          <w:i/>
        </w:rPr>
        <w:t>*******</w:t>
      </w:r>
    </w:p>
    <w:p w:rsidR="000A346C" w:rsidRPr="00892409" w:rsidRDefault="000A346C" w:rsidP="000A346C">
      <w:pPr>
        <w:spacing w:after="0"/>
        <w:jc w:val="center"/>
        <w:rPr>
          <w:b/>
          <w:i/>
        </w:rPr>
      </w:pPr>
    </w:p>
    <w:p w:rsidR="000A346C" w:rsidRPr="00892409" w:rsidRDefault="000A346C" w:rsidP="000A346C">
      <w:pPr>
        <w:rPr>
          <w:b/>
          <w:i/>
        </w:rPr>
      </w:pPr>
      <w:r w:rsidRPr="00892409">
        <w:rPr>
          <w:b/>
          <w:i/>
        </w:rPr>
        <w:br w:type="page"/>
      </w:r>
    </w:p>
    <w:p w:rsidR="000A346C" w:rsidRPr="00892409" w:rsidRDefault="000A346C" w:rsidP="000A346C">
      <w:pPr>
        <w:rPr>
          <w:b/>
        </w:rPr>
      </w:pPr>
      <w:r w:rsidRPr="00892409">
        <w:rPr>
          <w:b/>
        </w:rPr>
        <w:lastRenderedPageBreak/>
        <w:t>Students: _____________________________________________________                          Infant/Toddler</w:t>
      </w:r>
      <w:proofErr w:type="gramStart"/>
      <w:r w:rsidRPr="00892409">
        <w:rPr>
          <w:b/>
        </w:rPr>
        <w:t>:_</w:t>
      </w:r>
      <w:proofErr w:type="gramEnd"/>
      <w:r w:rsidRPr="00892409">
        <w:rPr>
          <w:b/>
        </w:rPr>
        <w:t>_________________</w:t>
      </w:r>
    </w:p>
    <w:p w:rsidR="000A346C" w:rsidRPr="00892409" w:rsidRDefault="000A346C" w:rsidP="000A346C">
      <w:pPr>
        <w:spacing w:after="0"/>
        <w:jc w:val="center"/>
        <w:rPr>
          <w:b/>
        </w:rPr>
      </w:pPr>
      <w:r w:rsidRPr="00892409">
        <w:rPr>
          <w:rFonts w:eastAsia="Times New Roman" w:cs="Times New Roman"/>
          <w:b/>
        </w:rPr>
        <w:t>Infant</w:t>
      </w:r>
      <w:r w:rsidRPr="00892409">
        <w:rPr>
          <w:b/>
        </w:rPr>
        <w:t xml:space="preserve"> Development Day Assignment</w:t>
      </w:r>
    </w:p>
    <w:p w:rsidR="000A346C" w:rsidRPr="00892409" w:rsidRDefault="000A346C" w:rsidP="000A346C">
      <w:pPr>
        <w:jc w:val="center"/>
        <w:rPr>
          <w:b/>
        </w:rPr>
      </w:pPr>
      <w:r w:rsidRPr="00892409">
        <w:rPr>
          <w:b/>
        </w:rPr>
        <w:t>Evaluation Rubric</w:t>
      </w:r>
    </w:p>
    <w:p w:rsidR="000A346C" w:rsidRPr="00892409" w:rsidRDefault="000A346C" w:rsidP="000A346C">
      <w:pPr>
        <w:jc w:val="center"/>
        <w:rPr>
          <w:b/>
        </w:rPr>
      </w:pPr>
    </w:p>
    <w:p w:rsidR="000A346C" w:rsidRPr="00892409" w:rsidRDefault="000A346C" w:rsidP="000A346C">
      <w:pPr>
        <w:rPr>
          <w:b/>
        </w:rPr>
      </w:pPr>
      <w:r w:rsidRPr="00892409">
        <w:rPr>
          <w:b/>
        </w:rPr>
        <w:t xml:space="preserve">Task description:  </w:t>
      </w:r>
      <w:r w:rsidRPr="00892409">
        <w:rPr>
          <w:b/>
          <w:i/>
        </w:rPr>
        <w:t xml:space="preserve">In </w:t>
      </w:r>
      <w:proofErr w:type="spellStart"/>
      <w:r w:rsidRPr="00892409">
        <w:rPr>
          <w:b/>
          <w:i/>
        </w:rPr>
        <w:t>interprofessional</w:t>
      </w:r>
      <w:proofErr w:type="spellEnd"/>
      <w:r w:rsidRPr="00892409">
        <w:rPr>
          <w:b/>
          <w:i/>
        </w:rPr>
        <w:t xml:space="preserve"> groups collaborate to identify the strengths of the child, family and living environment and also potential areas of difficulty expressed by the caregiver or observed during the developmental assessment for the assigned child. Finally collaborate and reflect in writing on how your perspective on </w:t>
      </w:r>
      <w:proofErr w:type="spellStart"/>
      <w:r w:rsidRPr="00892409">
        <w:rPr>
          <w:b/>
          <w:i/>
        </w:rPr>
        <w:t>interprofessional</w:t>
      </w:r>
      <w:proofErr w:type="spellEnd"/>
      <w:r w:rsidRPr="00892409">
        <w:rPr>
          <w:b/>
          <w:i/>
        </w:rPr>
        <w:t xml:space="preserve"> collaboration may have changed or further developed through your participation in the various aspects of Infant Development Day.</w:t>
      </w:r>
    </w:p>
    <w:p w:rsidR="000A346C" w:rsidRPr="00892409" w:rsidRDefault="000A346C" w:rsidP="000A346C">
      <w:pPr>
        <w:jc w:val="center"/>
        <w:rPr>
          <w:b/>
        </w:rPr>
      </w:pPr>
    </w:p>
    <w:tbl>
      <w:tblPr>
        <w:tblW w:w="12731"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3330"/>
        <w:gridCol w:w="4230"/>
      </w:tblGrid>
      <w:tr w:rsidR="000A346C" w:rsidRPr="00892409" w:rsidTr="007A377C">
        <w:trPr>
          <w:trHeight w:val="276"/>
        </w:trPr>
        <w:tc>
          <w:tcPr>
            <w:tcW w:w="5171" w:type="dxa"/>
            <w:shd w:val="clear" w:color="auto" w:fill="000000" w:themeFill="text1"/>
          </w:tcPr>
          <w:p w:rsidR="000A346C" w:rsidRPr="00892409" w:rsidRDefault="000A346C" w:rsidP="007A377C">
            <w:pPr>
              <w:jc w:val="center"/>
              <w:rPr>
                <w:b/>
              </w:rPr>
            </w:pPr>
          </w:p>
        </w:tc>
        <w:tc>
          <w:tcPr>
            <w:tcW w:w="3330" w:type="dxa"/>
            <w:shd w:val="clear" w:color="auto" w:fill="000000" w:themeFill="text1"/>
          </w:tcPr>
          <w:p w:rsidR="000A346C" w:rsidRPr="00892409" w:rsidRDefault="000A346C" w:rsidP="007A377C">
            <w:pPr>
              <w:jc w:val="center"/>
              <w:rPr>
                <w:b/>
              </w:rPr>
            </w:pPr>
            <w:r w:rsidRPr="00892409">
              <w:rPr>
                <w:b/>
              </w:rPr>
              <w:t>PASS</w:t>
            </w:r>
          </w:p>
        </w:tc>
        <w:tc>
          <w:tcPr>
            <w:tcW w:w="4230" w:type="dxa"/>
            <w:shd w:val="clear" w:color="auto" w:fill="000000" w:themeFill="text1"/>
          </w:tcPr>
          <w:p w:rsidR="000A346C" w:rsidRPr="00892409" w:rsidRDefault="000A346C" w:rsidP="007A377C">
            <w:pPr>
              <w:jc w:val="center"/>
              <w:rPr>
                <w:b/>
              </w:rPr>
            </w:pPr>
            <w:r w:rsidRPr="00892409">
              <w:rPr>
                <w:b/>
              </w:rPr>
              <w:t>FAIL</w:t>
            </w:r>
          </w:p>
        </w:tc>
      </w:tr>
      <w:tr w:rsidR="000A346C" w:rsidRPr="00892409" w:rsidTr="007A377C">
        <w:trPr>
          <w:trHeight w:val="395"/>
        </w:trPr>
        <w:tc>
          <w:tcPr>
            <w:tcW w:w="5171" w:type="dxa"/>
            <w:shd w:val="clear" w:color="auto" w:fill="F2F2F2" w:themeFill="background1" w:themeFillShade="F2"/>
          </w:tcPr>
          <w:p w:rsidR="000A346C" w:rsidRPr="00892409" w:rsidRDefault="000A346C" w:rsidP="007A377C">
            <w:pPr>
              <w:rPr>
                <w:b/>
              </w:rPr>
            </w:pPr>
            <w:r w:rsidRPr="00892409">
              <w:rPr>
                <w:b/>
              </w:rPr>
              <w:t>Chart and Suggestions</w:t>
            </w:r>
          </w:p>
        </w:tc>
        <w:tc>
          <w:tcPr>
            <w:tcW w:w="3330" w:type="dxa"/>
          </w:tcPr>
          <w:p w:rsidR="000A346C" w:rsidRPr="00892409" w:rsidRDefault="000A346C" w:rsidP="007A377C">
            <w:pPr>
              <w:jc w:val="center"/>
              <w:rPr>
                <w:b/>
              </w:rPr>
            </w:pPr>
          </w:p>
        </w:tc>
        <w:tc>
          <w:tcPr>
            <w:tcW w:w="4230" w:type="dxa"/>
          </w:tcPr>
          <w:p w:rsidR="000A346C" w:rsidRPr="00892409" w:rsidRDefault="000A346C" w:rsidP="007A377C">
            <w:pPr>
              <w:jc w:val="center"/>
              <w:rPr>
                <w:b/>
              </w:rPr>
            </w:pPr>
          </w:p>
        </w:tc>
      </w:tr>
      <w:tr w:rsidR="000A346C" w:rsidRPr="00892409" w:rsidTr="007A377C">
        <w:trPr>
          <w:trHeight w:val="1808"/>
        </w:trPr>
        <w:tc>
          <w:tcPr>
            <w:tcW w:w="5171" w:type="dxa"/>
          </w:tcPr>
          <w:p w:rsidR="000A346C" w:rsidRPr="00892409" w:rsidRDefault="000A346C" w:rsidP="007A377C">
            <w:pPr>
              <w:rPr>
                <w:b/>
              </w:rPr>
            </w:pPr>
            <w:r w:rsidRPr="00892409">
              <w:rPr>
                <w:b/>
              </w:rPr>
              <w:t>Narrative Feedback (if any):</w:t>
            </w:r>
          </w:p>
        </w:tc>
        <w:tc>
          <w:tcPr>
            <w:tcW w:w="3330" w:type="dxa"/>
          </w:tcPr>
          <w:p w:rsidR="000A346C" w:rsidRPr="00892409" w:rsidRDefault="000A346C" w:rsidP="007A377C">
            <w:r w:rsidRPr="00892409">
              <w:t>Organized; Clear concise with child/family/living environment specific identification of strengths and difficulties.</w:t>
            </w:r>
          </w:p>
          <w:p w:rsidR="000A346C" w:rsidRPr="00892409" w:rsidRDefault="000A346C" w:rsidP="007A377C">
            <w:r w:rsidRPr="00892409">
              <w:t>Inclusive of all professional roles.</w:t>
            </w:r>
          </w:p>
          <w:p w:rsidR="000A346C" w:rsidRPr="00892409" w:rsidRDefault="000A346C" w:rsidP="007A377C"/>
        </w:tc>
        <w:tc>
          <w:tcPr>
            <w:tcW w:w="4230" w:type="dxa"/>
          </w:tcPr>
          <w:p w:rsidR="000A346C" w:rsidRPr="00892409" w:rsidRDefault="000A346C" w:rsidP="007A377C">
            <w:r w:rsidRPr="00892409">
              <w:t xml:space="preserve">Not organized, is not child/family/living environment specific. Very little attempt to organize or outline data. </w:t>
            </w:r>
          </w:p>
          <w:p w:rsidR="000A346C" w:rsidRPr="00892409" w:rsidRDefault="000A346C" w:rsidP="007A377C">
            <w:r w:rsidRPr="00892409">
              <w:t>Missing &gt;2 professional areas</w:t>
            </w:r>
          </w:p>
        </w:tc>
      </w:tr>
      <w:tr w:rsidR="000A346C" w:rsidRPr="00892409" w:rsidTr="007A377C">
        <w:trPr>
          <w:trHeight w:val="503"/>
        </w:trPr>
        <w:tc>
          <w:tcPr>
            <w:tcW w:w="5171" w:type="dxa"/>
            <w:shd w:val="clear" w:color="auto" w:fill="F2F2F2" w:themeFill="background1" w:themeFillShade="F2"/>
          </w:tcPr>
          <w:p w:rsidR="000A346C" w:rsidRPr="00892409" w:rsidRDefault="000A346C" w:rsidP="007A377C">
            <w:pPr>
              <w:rPr>
                <w:b/>
              </w:rPr>
            </w:pPr>
            <w:proofErr w:type="spellStart"/>
            <w:r w:rsidRPr="00892409">
              <w:rPr>
                <w:b/>
              </w:rPr>
              <w:t>Interprofessional</w:t>
            </w:r>
            <w:proofErr w:type="spellEnd"/>
            <w:r w:rsidRPr="00892409">
              <w:rPr>
                <w:b/>
              </w:rPr>
              <w:t xml:space="preserve"> Reflection Response</w:t>
            </w:r>
          </w:p>
        </w:tc>
        <w:tc>
          <w:tcPr>
            <w:tcW w:w="3330" w:type="dxa"/>
          </w:tcPr>
          <w:p w:rsidR="000A346C" w:rsidRPr="00892409" w:rsidRDefault="000A346C" w:rsidP="007A377C">
            <w:pPr>
              <w:jc w:val="center"/>
            </w:pPr>
          </w:p>
        </w:tc>
        <w:tc>
          <w:tcPr>
            <w:tcW w:w="4230" w:type="dxa"/>
          </w:tcPr>
          <w:p w:rsidR="000A346C" w:rsidRPr="00892409" w:rsidRDefault="000A346C" w:rsidP="007A377C">
            <w:pPr>
              <w:jc w:val="center"/>
            </w:pPr>
          </w:p>
        </w:tc>
      </w:tr>
      <w:tr w:rsidR="000A346C" w:rsidRPr="00892409" w:rsidTr="007A377C">
        <w:trPr>
          <w:trHeight w:val="2105"/>
        </w:trPr>
        <w:tc>
          <w:tcPr>
            <w:tcW w:w="5171" w:type="dxa"/>
          </w:tcPr>
          <w:p w:rsidR="000A346C" w:rsidRPr="00892409" w:rsidRDefault="000A346C" w:rsidP="007A377C">
            <w:pPr>
              <w:rPr>
                <w:b/>
              </w:rPr>
            </w:pPr>
            <w:r w:rsidRPr="00892409">
              <w:rPr>
                <w:b/>
              </w:rPr>
              <w:lastRenderedPageBreak/>
              <w:t>Narrative Feedback (if any):</w:t>
            </w:r>
          </w:p>
          <w:p w:rsidR="000A346C" w:rsidRPr="00892409" w:rsidRDefault="000A346C" w:rsidP="007A377C">
            <w:pPr>
              <w:rPr>
                <w:b/>
              </w:rPr>
            </w:pPr>
          </w:p>
          <w:p w:rsidR="000A346C" w:rsidRPr="00892409" w:rsidRDefault="000A346C" w:rsidP="007A377C">
            <w:pPr>
              <w:rPr>
                <w:b/>
              </w:rPr>
            </w:pPr>
          </w:p>
        </w:tc>
        <w:tc>
          <w:tcPr>
            <w:tcW w:w="3330" w:type="dxa"/>
          </w:tcPr>
          <w:p w:rsidR="000A346C" w:rsidRPr="00892409" w:rsidRDefault="000A346C" w:rsidP="007A377C">
            <w:r w:rsidRPr="00892409">
              <w:t xml:space="preserve">Thoughtful, compares and contrasts previous understanding of professional roles with new perspectives post IDD activities in cohesive paragraph </w:t>
            </w:r>
          </w:p>
        </w:tc>
        <w:tc>
          <w:tcPr>
            <w:tcW w:w="4230" w:type="dxa"/>
          </w:tcPr>
          <w:p w:rsidR="000A346C" w:rsidRPr="00892409" w:rsidRDefault="000A346C" w:rsidP="007A377C">
            <w:r w:rsidRPr="00892409">
              <w:t xml:space="preserve">Not cohesive or reflective of development or understanding of professional roles  </w:t>
            </w:r>
          </w:p>
        </w:tc>
      </w:tr>
    </w:tbl>
    <w:p w:rsidR="000A346C" w:rsidRPr="00892409" w:rsidRDefault="000A346C" w:rsidP="000A346C">
      <w:r w:rsidRPr="00892409">
        <w:t xml:space="preserve">Both components must receive a “Pass” score in order to receive credit for completion of the assignment. The typed assignment must be posted to D2L. Due by: </w:t>
      </w:r>
      <w:r w:rsidRPr="00892409">
        <w:rPr>
          <w:b/>
          <w:highlight w:val="yellow"/>
          <w:u w:val="single"/>
        </w:rPr>
        <w:t>Monday Sept 28</w:t>
      </w:r>
      <w:r w:rsidRPr="00892409">
        <w:rPr>
          <w:b/>
          <w:highlight w:val="yellow"/>
          <w:u w:val="single"/>
          <w:vertAlign w:val="superscript"/>
        </w:rPr>
        <w:t>th</w:t>
      </w:r>
      <w:r w:rsidRPr="00892409">
        <w:rPr>
          <w:b/>
          <w:highlight w:val="yellow"/>
          <w:u w:val="single"/>
        </w:rPr>
        <w:t xml:space="preserve"> at 12 PM_</w:t>
      </w:r>
    </w:p>
    <w:p w:rsidR="000A346C" w:rsidRDefault="000A346C" w:rsidP="000A346C">
      <w:pPr>
        <w:spacing w:after="160"/>
        <w:rPr>
          <w:rFonts w:cs="Arial"/>
          <w:b/>
        </w:rPr>
      </w:pPr>
    </w:p>
    <w:p w:rsidR="000A346C" w:rsidRPr="000A346C" w:rsidRDefault="000A346C" w:rsidP="000A346C">
      <w:pPr>
        <w:spacing w:after="160"/>
        <w:rPr>
          <w:rFonts w:cs="Arial"/>
        </w:rPr>
      </w:pPr>
      <w:r>
        <w:rPr>
          <w:rFonts w:cs="Arial"/>
        </w:rPr>
        <w:t>Feedback is also solicited from students regarding the IDD experience:</w:t>
      </w:r>
    </w:p>
    <w:p w:rsidR="000A346C" w:rsidRDefault="000A346C" w:rsidP="000A346C">
      <w:pPr>
        <w:spacing w:after="160"/>
        <w:rPr>
          <w:rFonts w:cs="Arial"/>
          <w:b/>
        </w:rPr>
      </w:pPr>
    </w:p>
    <w:p w:rsidR="000A346C" w:rsidRDefault="000A346C" w:rsidP="000A346C">
      <w:pPr>
        <w:spacing w:after="0"/>
        <w:rPr>
          <w:b/>
        </w:rPr>
        <w:sectPr w:rsidR="000A346C" w:rsidSect="000A346C">
          <w:pgSz w:w="15840" w:h="12240" w:orient="landscape"/>
          <w:pgMar w:top="1440" w:right="1440" w:bottom="1440" w:left="1440" w:header="720" w:footer="720" w:gutter="0"/>
          <w:cols w:space="720"/>
          <w:docGrid w:linePitch="360"/>
        </w:sectPr>
      </w:pPr>
      <w:r w:rsidRPr="00892409">
        <w:rPr>
          <w:rFonts w:cs="Arial"/>
          <w:b/>
          <w:noProof/>
        </w:rPr>
        <w:drawing>
          <wp:inline distT="0" distB="0" distL="0" distR="0" wp14:anchorId="74A47251" wp14:editId="63C27460">
            <wp:extent cx="5269045" cy="1863306"/>
            <wp:effectExtent l="19050" t="0" r="7805" b="0"/>
            <wp:docPr id="4" name="Picture 3" descr="Survey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 image.PNG"/>
                    <pic:cNvPicPr/>
                  </pic:nvPicPr>
                  <pic:blipFill>
                    <a:blip r:embed="rId12"/>
                    <a:stretch>
                      <a:fillRect/>
                    </a:stretch>
                  </pic:blipFill>
                  <pic:spPr>
                    <a:xfrm>
                      <a:off x="0" y="0"/>
                      <a:ext cx="5273751" cy="1864970"/>
                    </a:xfrm>
                    <a:prstGeom prst="rect">
                      <a:avLst/>
                    </a:prstGeom>
                  </pic:spPr>
                </pic:pic>
              </a:graphicData>
            </a:graphic>
          </wp:inline>
        </w:drawing>
      </w:r>
    </w:p>
    <w:p w:rsidR="000A346C" w:rsidRPr="00892409" w:rsidRDefault="000A346C" w:rsidP="00892409">
      <w:pPr>
        <w:spacing w:after="160"/>
        <w:rPr>
          <w:rFonts w:cs="Arial"/>
          <w:b/>
        </w:rPr>
      </w:pPr>
    </w:p>
    <w:sectPr w:rsidR="000A346C" w:rsidRPr="00892409" w:rsidSect="000A34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634" w:rsidRDefault="00A10634" w:rsidP="000B0734">
      <w:pPr>
        <w:spacing w:after="0" w:line="240" w:lineRule="auto"/>
      </w:pPr>
      <w:r>
        <w:separator/>
      </w:r>
    </w:p>
  </w:endnote>
  <w:endnote w:type="continuationSeparator" w:id="0">
    <w:p w:rsidR="00A10634" w:rsidRDefault="00A1063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BF" w:rsidRDefault="00A340BF" w:rsidP="00A340BF">
    <w:pPr>
      <w:pStyle w:val="Footer"/>
      <w:jc w:val="center"/>
      <w:rPr>
        <w:i/>
        <w:sz w:val="18"/>
        <w:szCs w:val="18"/>
      </w:rPr>
    </w:pPr>
    <w:r>
      <w:rPr>
        <w:i/>
        <w:iCs/>
        <w:sz w:val="18"/>
        <w:szCs w:val="18"/>
      </w:rPr>
      <w:t>Reprinted with permission of the Academy of Neurologic Physical Therapy, Inc.</w:t>
    </w:r>
  </w:p>
  <w:p w:rsidR="00A340BF" w:rsidRDefault="00A340BF" w:rsidP="00A340BF">
    <w:pPr>
      <w:pStyle w:val="Footer"/>
      <w:jc w:val="center"/>
      <w:rPr>
        <w:i/>
        <w:sz w:val="18"/>
        <w:szCs w:val="18"/>
      </w:rPr>
    </w:pPr>
    <w:r>
      <w:rPr>
        <w:i/>
        <w:sz w:val="18"/>
        <w:szCs w:val="18"/>
      </w:rPr>
      <w:t>Do not duplicate without acknowledging Learning Activity author.</w:t>
    </w:r>
  </w:p>
  <w:p w:rsidR="004729A1" w:rsidRPr="00A340BF" w:rsidRDefault="004729A1" w:rsidP="00A34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634" w:rsidRDefault="00A10634" w:rsidP="000B0734">
      <w:pPr>
        <w:spacing w:after="0" w:line="240" w:lineRule="auto"/>
      </w:pPr>
      <w:r>
        <w:separator/>
      </w:r>
    </w:p>
  </w:footnote>
  <w:footnote w:type="continuationSeparator" w:id="0">
    <w:p w:rsidR="00A10634" w:rsidRDefault="00A10634"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CF" w:rsidRDefault="00110DCF"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65972"/>
    <w:multiLevelType w:val="multilevel"/>
    <w:tmpl w:val="75CC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22488"/>
    <w:multiLevelType w:val="multilevel"/>
    <w:tmpl w:val="3BD0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0534B"/>
    <w:multiLevelType w:val="multilevel"/>
    <w:tmpl w:val="6F3E1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EA4AE0"/>
    <w:multiLevelType w:val="hybridMultilevel"/>
    <w:tmpl w:val="85EE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5"/>
  </w:num>
  <w:num w:numId="5">
    <w:abstractNumId w:val="9"/>
  </w:num>
  <w:num w:numId="6">
    <w:abstractNumId w:val="6"/>
  </w:num>
  <w:num w:numId="7">
    <w:abstractNumId w:val="1"/>
  </w:num>
  <w:num w:numId="8">
    <w:abstractNumId w:val="8"/>
  </w:num>
  <w:num w:numId="9">
    <w:abstractNumId w:val="2"/>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3A3B"/>
    <w:rsid w:val="000065F6"/>
    <w:rsid w:val="0008660D"/>
    <w:rsid w:val="000871D5"/>
    <w:rsid w:val="0009476D"/>
    <w:rsid w:val="000A346C"/>
    <w:rsid w:val="000A5935"/>
    <w:rsid w:val="000B0734"/>
    <w:rsid w:val="000C3FA6"/>
    <w:rsid w:val="001077F4"/>
    <w:rsid w:val="00110DCF"/>
    <w:rsid w:val="001559E2"/>
    <w:rsid w:val="0016383E"/>
    <w:rsid w:val="00185ED7"/>
    <w:rsid w:val="00186F79"/>
    <w:rsid w:val="001A3BB9"/>
    <w:rsid w:val="00234645"/>
    <w:rsid w:val="0025397F"/>
    <w:rsid w:val="002544FB"/>
    <w:rsid w:val="002B27D7"/>
    <w:rsid w:val="002B2C19"/>
    <w:rsid w:val="002C3375"/>
    <w:rsid w:val="002E701C"/>
    <w:rsid w:val="002F31F4"/>
    <w:rsid w:val="0030611A"/>
    <w:rsid w:val="00361321"/>
    <w:rsid w:val="00364590"/>
    <w:rsid w:val="00382811"/>
    <w:rsid w:val="00395D69"/>
    <w:rsid w:val="003C32CD"/>
    <w:rsid w:val="003C6EBD"/>
    <w:rsid w:val="003D4274"/>
    <w:rsid w:val="0042493D"/>
    <w:rsid w:val="00451AD8"/>
    <w:rsid w:val="00455999"/>
    <w:rsid w:val="004729A1"/>
    <w:rsid w:val="00483A21"/>
    <w:rsid w:val="004C0894"/>
    <w:rsid w:val="004C4D0E"/>
    <w:rsid w:val="00512AB2"/>
    <w:rsid w:val="0051311D"/>
    <w:rsid w:val="0051682E"/>
    <w:rsid w:val="0056049C"/>
    <w:rsid w:val="005742AD"/>
    <w:rsid w:val="005D2652"/>
    <w:rsid w:val="005E2363"/>
    <w:rsid w:val="00606FBA"/>
    <w:rsid w:val="0062687C"/>
    <w:rsid w:val="00633A23"/>
    <w:rsid w:val="0067164D"/>
    <w:rsid w:val="00677DFE"/>
    <w:rsid w:val="006858A9"/>
    <w:rsid w:val="0068789F"/>
    <w:rsid w:val="006C479E"/>
    <w:rsid w:val="00726716"/>
    <w:rsid w:val="007837F3"/>
    <w:rsid w:val="007A60B6"/>
    <w:rsid w:val="007B7EF0"/>
    <w:rsid w:val="007D1606"/>
    <w:rsid w:val="008323B0"/>
    <w:rsid w:val="00840EFF"/>
    <w:rsid w:val="00842D4A"/>
    <w:rsid w:val="008444C9"/>
    <w:rsid w:val="00866F5D"/>
    <w:rsid w:val="008760AC"/>
    <w:rsid w:val="00882696"/>
    <w:rsid w:val="00892409"/>
    <w:rsid w:val="008E3A01"/>
    <w:rsid w:val="008E738E"/>
    <w:rsid w:val="00904C55"/>
    <w:rsid w:val="00973CCF"/>
    <w:rsid w:val="009743E2"/>
    <w:rsid w:val="009A7EEB"/>
    <w:rsid w:val="009B458C"/>
    <w:rsid w:val="009D51B6"/>
    <w:rsid w:val="00A02D38"/>
    <w:rsid w:val="00A10634"/>
    <w:rsid w:val="00A156C6"/>
    <w:rsid w:val="00A31BA7"/>
    <w:rsid w:val="00A340BF"/>
    <w:rsid w:val="00A34C02"/>
    <w:rsid w:val="00A51E61"/>
    <w:rsid w:val="00A61499"/>
    <w:rsid w:val="00A71B69"/>
    <w:rsid w:val="00A909D1"/>
    <w:rsid w:val="00AA698A"/>
    <w:rsid w:val="00AA6A79"/>
    <w:rsid w:val="00AD77B5"/>
    <w:rsid w:val="00AF15AA"/>
    <w:rsid w:val="00B35361"/>
    <w:rsid w:val="00B73FC4"/>
    <w:rsid w:val="00B75ACA"/>
    <w:rsid w:val="00B86BA2"/>
    <w:rsid w:val="00B87A1F"/>
    <w:rsid w:val="00BF06C5"/>
    <w:rsid w:val="00C3190A"/>
    <w:rsid w:val="00C4366A"/>
    <w:rsid w:val="00C47899"/>
    <w:rsid w:val="00C94777"/>
    <w:rsid w:val="00CD048D"/>
    <w:rsid w:val="00D47452"/>
    <w:rsid w:val="00D50984"/>
    <w:rsid w:val="00D51A82"/>
    <w:rsid w:val="00D521F0"/>
    <w:rsid w:val="00D64A36"/>
    <w:rsid w:val="00D826B6"/>
    <w:rsid w:val="00DA7B07"/>
    <w:rsid w:val="00E05FB6"/>
    <w:rsid w:val="00E06781"/>
    <w:rsid w:val="00E4504D"/>
    <w:rsid w:val="00E7390B"/>
    <w:rsid w:val="00E75520"/>
    <w:rsid w:val="00E76098"/>
    <w:rsid w:val="00EB1753"/>
    <w:rsid w:val="00EC59D9"/>
    <w:rsid w:val="00ED6F6F"/>
    <w:rsid w:val="00F01211"/>
    <w:rsid w:val="00F24186"/>
    <w:rsid w:val="00F26DD7"/>
    <w:rsid w:val="00F40CB8"/>
    <w:rsid w:val="00F4284B"/>
    <w:rsid w:val="00F53371"/>
    <w:rsid w:val="00F7329E"/>
    <w:rsid w:val="00F75654"/>
    <w:rsid w:val="00F8378C"/>
    <w:rsid w:val="00FA3CA5"/>
    <w:rsid w:val="00FA7E6C"/>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3C6EBD"/>
    <w:rPr>
      <w:color w:val="0563C1" w:themeColor="hyperlink"/>
      <w:u w:val="single"/>
    </w:rPr>
  </w:style>
  <w:style w:type="paragraph" w:styleId="Revision">
    <w:name w:val="Revision"/>
    <w:hidden/>
    <w:uiPriority w:val="99"/>
    <w:semiHidden/>
    <w:rsid w:val="00EC59D9"/>
    <w:pPr>
      <w:spacing w:after="0" w:line="240" w:lineRule="auto"/>
    </w:pPr>
  </w:style>
  <w:style w:type="table" w:styleId="TableGrid">
    <w:name w:val="Table Grid"/>
    <w:basedOn w:val="TableNormal"/>
    <w:uiPriority w:val="59"/>
    <w:rsid w:val="00A15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7206">
      <w:bodyDiv w:val="1"/>
      <w:marLeft w:val="0"/>
      <w:marRight w:val="0"/>
      <w:marTop w:val="0"/>
      <w:marBottom w:val="0"/>
      <w:divBdr>
        <w:top w:val="none" w:sz="0" w:space="0" w:color="auto"/>
        <w:left w:val="none" w:sz="0" w:space="0" w:color="auto"/>
        <w:bottom w:val="none" w:sz="0" w:space="0" w:color="auto"/>
        <w:right w:val="none" w:sz="0" w:space="0" w:color="auto"/>
      </w:divBdr>
    </w:div>
    <w:div w:id="278492261">
      <w:bodyDiv w:val="1"/>
      <w:marLeft w:val="0"/>
      <w:marRight w:val="0"/>
      <w:marTop w:val="0"/>
      <w:marBottom w:val="0"/>
      <w:divBdr>
        <w:top w:val="none" w:sz="0" w:space="0" w:color="auto"/>
        <w:left w:val="none" w:sz="0" w:space="0" w:color="auto"/>
        <w:bottom w:val="none" w:sz="0" w:space="0" w:color="auto"/>
        <w:right w:val="none" w:sz="0" w:space="0" w:color="auto"/>
      </w:divBdr>
    </w:div>
    <w:div w:id="909461692">
      <w:bodyDiv w:val="1"/>
      <w:marLeft w:val="0"/>
      <w:marRight w:val="0"/>
      <w:marTop w:val="0"/>
      <w:marBottom w:val="0"/>
      <w:divBdr>
        <w:top w:val="none" w:sz="0" w:space="0" w:color="auto"/>
        <w:left w:val="none" w:sz="0" w:space="0" w:color="auto"/>
        <w:bottom w:val="none" w:sz="0" w:space="0" w:color="auto"/>
        <w:right w:val="none" w:sz="0" w:space="0" w:color="auto"/>
      </w:divBdr>
    </w:div>
    <w:div w:id="1067262144">
      <w:bodyDiv w:val="1"/>
      <w:marLeft w:val="0"/>
      <w:marRight w:val="0"/>
      <w:marTop w:val="0"/>
      <w:marBottom w:val="0"/>
      <w:divBdr>
        <w:top w:val="none" w:sz="0" w:space="0" w:color="auto"/>
        <w:left w:val="none" w:sz="0" w:space="0" w:color="auto"/>
        <w:bottom w:val="none" w:sz="0" w:space="0" w:color="auto"/>
        <w:right w:val="none" w:sz="0" w:space="0" w:color="auto"/>
      </w:divBdr>
    </w:div>
    <w:div w:id="1722821313">
      <w:bodyDiv w:val="1"/>
      <w:marLeft w:val="0"/>
      <w:marRight w:val="0"/>
      <w:marTop w:val="0"/>
      <w:marBottom w:val="0"/>
      <w:divBdr>
        <w:top w:val="none" w:sz="0" w:space="0" w:color="auto"/>
        <w:left w:val="none" w:sz="0" w:space="0" w:color="auto"/>
        <w:bottom w:val="none" w:sz="0" w:space="0" w:color="auto"/>
        <w:right w:val="none" w:sz="0" w:space="0" w:color="auto"/>
      </w:divBdr>
    </w:div>
    <w:div w:id="205588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lummer@mghihp.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dicases.org/wp-content/uploads/2011/07/childdev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037F-3FCE-4B2B-8FA1-BFF6BEB2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2016-03-09T20:16:00Z</dcterms:created>
  <dcterms:modified xsi:type="dcterms:W3CDTF">2016-06-30T16:25:00Z</dcterms:modified>
</cp:coreProperties>
</file>