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27334" w14:textId="77777777" w:rsidR="000B0734" w:rsidRPr="00F91D8B" w:rsidRDefault="000B0734" w:rsidP="00F91D8B">
      <w:pPr>
        <w:spacing w:after="0"/>
        <w:jc w:val="center"/>
        <w:rPr>
          <w:rFonts w:cs="Arial"/>
        </w:rPr>
      </w:pPr>
    </w:p>
    <w:p w14:paraId="5BAA3A20" w14:textId="1C65C740" w:rsidR="0051682E" w:rsidRPr="00F91D8B" w:rsidRDefault="00F91D8B" w:rsidP="00F91D8B">
      <w:pPr>
        <w:spacing w:after="120"/>
        <w:rPr>
          <w:rFonts w:cs="Arial"/>
        </w:rPr>
      </w:pPr>
      <w:r w:rsidRPr="00F91D8B">
        <w:rPr>
          <w:rFonts w:cs="Arial"/>
          <w:b/>
        </w:rPr>
        <w:t xml:space="preserve">Title and Focus </w:t>
      </w:r>
      <w:r w:rsidR="0051682E" w:rsidRPr="00F91D8B">
        <w:rPr>
          <w:rFonts w:cs="Arial"/>
          <w:b/>
        </w:rPr>
        <w:t>of Activity:</w:t>
      </w:r>
      <w:r w:rsidR="000B0734" w:rsidRPr="00F91D8B">
        <w:rPr>
          <w:rFonts w:cs="Arial"/>
        </w:rPr>
        <w:t xml:space="preserve"> </w:t>
      </w:r>
      <w:r w:rsidR="00DD058E" w:rsidRPr="00F91D8B">
        <w:rPr>
          <w:rFonts w:cs="Arial"/>
        </w:rPr>
        <w:t xml:space="preserve"> </w:t>
      </w:r>
      <w:r>
        <w:rPr>
          <w:rFonts w:cs="Arial"/>
        </w:rPr>
        <w:tab/>
      </w:r>
      <w:r w:rsidR="00DD058E" w:rsidRPr="00F91D8B">
        <w:rPr>
          <w:rFonts w:cs="Arial"/>
          <w:u w:val="single"/>
        </w:rPr>
        <w:t>Student Teaching Lab</w:t>
      </w:r>
      <w:r w:rsidRPr="00F91D8B">
        <w:rPr>
          <w:rFonts w:cs="Arial"/>
          <w:u w:val="single"/>
        </w:rPr>
        <w:t xml:space="preserve">                                                                                                      </w:t>
      </w:r>
      <w:r w:rsidRPr="00F91D8B">
        <w:rPr>
          <w:rFonts w:cs="Arial"/>
          <w:i/>
        </w:rPr>
        <w:t>Linking foundational and clinical skills</w:t>
      </w:r>
    </w:p>
    <w:p w14:paraId="2C84CC39" w14:textId="77777777" w:rsidR="0051682E" w:rsidRDefault="0051682E" w:rsidP="00F91D8B">
      <w:pPr>
        <w:pStyle w:val="ListParagraph"/>
        <w:spacing w:after="120"/>
        <w:ind w:left="360"/>
        <w:rPr>
          <w:rFonts w:cs="Arial"/>
        </w:rPr>
      </w:pPr>
    </w:p>
    <w:p w14:paraId="0799A2C4" w14:textId="77777777" w:rsidR="00F91D8B" w:rsidRPr="00F91D8B" w:rsidRDefault="00F91D8B" w:rsidP="00F91D8B">
      <w:pPr>
        <w:pStyle w:val="ListParagraph"/>
        <w:spacing w:after="120"/>
        <w:ind w:left="360"/>
        <w:rPr>
          <w:rFonts w:cs="Arial"/>
        </w:rPr>
      </w:pPr>
    </w:p>
    <w:p w14:paraId="5AC3C8C3" w14:textId="5E12AAAF" w:rsidR="00DD058E" w:rsidRPr="00F91D8B" w:rsidRDefault="0051682E" w:rsidP="00F91D8B">
      <w:pPr>
        <w:spacing w:after="120"/>
        <w:rPr>
          <w:rFonts w:cs="Arial"/>
        </w:rPr>
      </w:pPr>
      <w:r w:rsidRPr="00F91D8B">
        <w:rPr>
          <w:rFonts w:cs="Arial"/>
          <w:b/>
        </w:rPr>
        <w:t>Contributor(s):</w:t>
      </w:r>
      <w:r w:rsidR="000B0734" w:rsidRPr="00F91D8B">
        <w:rPr>
          <w:rFonts w:cs="Arial"/>
        </w:rPr>
        <w:t xml:space="preserve"> </w:t>
      </w:r>
      <w:r w:rsidR="00F91D8B">
        <w:rPr>
          <w:rFonts w:cs="Arial"/>
        </w:rPr>
        <w:tab/>
      </w:r>
      <w:r w:rsidR="00DD058E" w:rsidRPr="00F91D8B">
        <w:rPr>
          <w:rFonts w:cs="Arial"/>
        </w:rPr>
        <w:t>Su</w:t>
      </w:r>
      <w:r w:rsidR="00A9399A" w:rsidRPr="00F91D8B">
        <w:rPr>
          <w:rFonts w:cs="Arial"/>
        </w:rPr>
        <w:t>san Joy</w:t>
      </w:r>
      <w:r w:rsidR="00DD058E" w:rsidRPr="00F91D8B">
        <w:rPr>
          <w:rFonts w:cs="Arial"/>
        </w:rPr>
        <w:t xml:space="preserve"> Leach, PT, PhD, NCS, CEEAA; </w:t>
      </w:r>
      <w:hyperlink r:id="rId8" w:history="1">
        <w:r w:rsidR="00DD058E" w:rsidRPr="00F91D8B">
          <w:rPr>
            <w:rStyle w:val="Hyperlink"/>
            <w:rFonts w:cs="Arial"/>
          </w:rPr>
          <w:t>leachs@gwu.edu</w:t>
        </w:r>
      </w:hyperlink>
      <w:r w:rsidR="00F91D8B">
        <w:rPr>
          <w:rFonts w:cs="Arial"/>
        </w:rPr>
        <w:t xml:space="preserve">;  </w:t>
      </w:r>
      <w:r w:rsidR="00DD058E" w:rsidRPr="00F91D8B">
        <w:rPr>
          <w:rFonts w:cs="Arial"/>
        </w:rPr>
        <w:t xml:space="preserve">Elizabeth Ruckert, PT, DPT, NCS, GCS; </w:t>
      </w:r>
      <w:hyperlink r:id="rId9" w:history="1">
        <w:r w:rsidR="00DD058E" w:rsidRPr="00F91D8B">
          <w:rPr>
            <w:rStyle w:val="Hyperlink"/>
            <w:rFonts w:cs="Arial"/>
          </w:rPr>
          <w:t>eruckert@gwu.edu</w:t>
        </w:r>
      </w:hyperlink>
      <w:r w:rsidR="00F91D8B">
        <w:rPr>
          <w:rFonts w:cs="Arial"/>
        </w:rPr>
        <w:t xml:space="preserve">                                                                                                                                                      </w:t>
      </w:r>
      <w:r w:rsidR="00DD058E" w:rsidRPr="00F91D8B">
        <w:rPr>
          <w:rFonts w:cs="Arial"/>
        </w:rPr>
        <w:t>The George Washington University, School of Medicine and Health Sciences, Program in Physical Thera</w:t>
      </w:r>
      <w:r w:rsidR="00F91D8B">
        <w:rPr>
          <w:rFonts w:cs="Arial"/>
        </w:rPr>
        <w:t xml:space="preserve">py &amp; Healthcare Sciences, </w:t>
      </w:r>
      <w:r w:rsidR="00DD058E" w:rsidRPr="00F91D8B">
        <w:rPr>
          <w:rFonts w:cs="Arial"/>
        </w:rPr>
        <w:t xml:space="preserve">Washington, DC </w:t>
      </w:r>
    </w:p>
    <w:p w14:paraId="516F0F2E" w14:textId="77777777" w:rsidR="0051682E" w:rsidRDefault="0051682E" w:rsidP="00F91D8B">
      <w:pPr>
        <w:pStyle w:val="ListParagraph"/>
        <w:spacing w:after="120"/>
        <w:ind w:left="360"/>
        <w:rPr>
          <w:rFonts w:cs="Arial"/>
        </w:rPr>
      </w:pPr>
    </w:p>
    <w:p w14:paraId="0D2AF197" w14:textId="77777777" w:rsidR="00F91D8B" w:rsidRPr="00F91D8B" w:rsidRDefault="00F91D8B" w:rsidP="00F91D8B">
      <w:pPr>
        <w:pStyle w:val="ListParagraph"/>
        <w:spacing w:after="120"/>
        <w:ind w:left="360"/>
        <w:rPr>
          <w:rFonts w:cs="Arial"/>
        </w:rPr>
      </w:pPr>
    </w:p>
    <w:p w14:paraId="52882984" w14:textId="083F399C" w:rsidR="0051682E" w:rsidRDefault="0051682E" w:rsidP="00F91D8B">
      <w:pPr>
        <w:spacing w:after="120"/>
        <w:rPr>
          <w:rFonts w:cs="Arial"/>
        </w:rPr>
      </w:pPr>
      <w:r w:rsidRPr="00F91D8B">
        <w:rPr>
          <w:rFonts w:cs="Arial"/>
          <w:b/>
        </w:rPr>
        <w:t xml:space="preserve">Course </w:t>
      </w:r>
      <w:r w:rsidR="00F91D8B" w:rsidRPr="00F91D8B">
        <w:rPr>
          <w:rFonts w:cs="Arial"/>
          <w:b/>
        </w:rPr>
        <w:t>Information</w:t>
      </w:r>
      <w:r w:rsidRPr="00F91D8B">
        <w:rPr>
          <w:rFonts w:cs="Arial"/>
          <w:b/>
        </w:rPr>
        <w:t>:</w:t>
      </w:r>
      <w:r w:rsidR="0074397A" w:rsidRPr="00F91D8B">
        <w:rPr>
          <w:rFonts w:cs="Arial"/>
          <w:b/>
        </w:rPr>
        <w:t xml:space="preserve"> </w:t>
      </w:r>
      <w:r w:rsidR="0074397A" w:rsidRPr="00F91D8B">
        <w:rPr>
          <w:rFonts w:cs="Arial"/>
        </w:rPr>
        <w:t xml:space="preserve"> </w:t>
      </w:r>
      <w:r w:rsidR="00F91D8B">
        <w:rPr>
          <w:rFonts w:cs="Arial"/>
        </w:rPr>
        <w:t xml:space="preserve">                                                                                                                                                                      </w:t>
      </w:r>
      <w:r w:rsidR="00DD058E" w:rsidRPr="00F91D8B">
        <w:rPr>
          <w:rFonts w:cs="Arial"/>
        </w:rPr>
        <w:t>Neuroscience for Rehabilitation II</w:t>
      </w:r>
      <w:r w:rsidR="00F91D8B">
        <w:rPr>
          <w:rFonts w:cs="Arial"/>
        </w:rPr>
        <w:t xml:space="preserve">; 2 credits; </w:t>
      </w:r>
      <w:r w:rsidR="00D612AD" w:rsidRPr="00F91D8B">
        <w:rPr>
          <w:rFonts w:cs="Arial"/>
        </w:rPr>
        <w:t>3</w:t>
      </w:r>
      <w:r w:rsidR="00D612AD" w:rsidRPr="00F91D8B">
        <w:rPr>
          <w:rFonts w:cs="Arial"/>
          <w:vertAlign w:val="superscript"/>
        </w:rPr>
        <w:t>rd</w:t>
      </w:r>
      <w:r w:rsidR="00D612AD" w:rsidRPr="00F91D8B">
        <w:rPr>
          <w:rFonts w:cs="Arial"/>
        </w:rPr>
        <w:t xml:space="preserve"> semester</w:t>
      </w:r>
      <w:r w:rsidR="0074397A" w:rsidRPr="00F91D8B">
        <w:rPr>
          <w:rFonts w:cs="Arial"/>
        </w:rPr>
        <w:t xml:space="preserve"> of the curriculum (1</w:t>
      </w:r>
      <w:r w:rsidR="0074397A" w:rsidRPr="00F91D8B">
        <w:rPr>
          <w:rFonts w:cs="Arial"/>
          <w:vertAlign w:val="superscript"/>
        </w:rPr>
        <w:t>st</w:t>
      </w:r>
      <w:r w:rsidR="0074397A" w:rsidRPr="00F91D8B">
        <w:rPr>
          <w:rFonts w:cs="Arial"/>
        </w:rPr>
        <w:t xml:space="preserve"> year, </w:t>
      </w:r>
      <w:proofErr w:type="gramStart"/>
      <w:r w:rsidR="0074397A" w:rsidRPr="00F91D8B">
        <w:rPr>
          <w:rFonts w:cs="Arial"/>
        </w:rPr>
        <w:t>Summer</w:t>
      </w:r>
      <w:proofErr w:type="gramEnd"/>
      <w:r w:rsidR="0074397A" w:rsidRPr="00F91D8B">
        <w:rPr>
          <w:rFonts w:cs="Arial"/>
        </w:rPr>
        <w:t xml:space="preserve"> semester)</w:t>
      </w:r>
    </w:p>
    <w:p w14:paraId="7C91BBF5" w14:textId="77777777" w:rsidR="00F91D8B" w:rsidRDefault="00F91D8B" w:rsidP="00F91D8B">
      <w:pPr>
        <w:spacing w:after="120"/>
        <w:rPr>
          <w:rFonts w:cs="Arial"/>
        </w:rPr>
      </w:pPr>
    </w:p>
    <w:p w14:paraId="050A95B5" w14:textId="77777777" w:rsidR="00F91D8B" w:rsidRDefault="00F91D8B" w:rsidP="00F91D8B">
      <w:pPr>
        <w:spacing w:after="120"/>
        <w:rPr>
          <w:rFonts w:cs="Arial"/>
        </w:rPr>
      </w:pPr>
    </w:p>
    <w:p w14:paraId="7C010579" w14:textId="2CB70A15" w:rsidR="00F91D8B" w:rsidRPr="00F91D8B" w:rsidRDefault="00F91D8B" w:rsidP="00F91D8B">
      <w:pPr>
        <w:spacing w:after="120"/>
        <w:rPr>
          <w:rFonts w:cs="Arial"/>
        </w:rPr>
      </w:pPr>
      <w:r w:rsidRPr="00F91D8B">
        <w:rPr>
          <w:rFonts w:cs="Arial"/>
          <w:b/>
        </w:rPr>
        <w:t xml:space="preserve">Learning Activity Description:                                                                                                                                              </w:t>
      </w:r>
      <w:r w:rsidRPr="00F91D8B">
        <w:rPr>
          <w:rFonts w:cs="Arial"/>
          <w:u w:val="single"/>
        </w:rPr>
        <w:t>Context:</w:t>
      </w:r>
      <w:r w:rsidRPr="00F91D8B">
        <w:rPr>
          <w:rFonts w:cs="Arial"/>
        </w:rPr>
        <w:t xml:space="preserve">  In the </w:t>
      </w:r>
      <w:r w:rsidRPr="00F91D8B">
        <w:rPr>
          <w:rFonts w:cs="Arial"/>
          <w:i/>
        </w:rPr>
        <w:t>Teaching in Physical Therapy Practice</w:t>
      </w:r>
      <w:r w:rsidRPr="00F91D8B">
        <w:rPr>
          <w:rFonts w:cs="Arial"/>
        </w:rPr>
        <w:t xml:space="preserve"> course (previous semester), students learn to structure teaching/learning sessions for a variety of audiences (patient, professional peers/colleagues, and family members) in one-on-one and in group settings. In the present course students are required to teach neurology content to their peers. </w:t>
      </w:r>
      <w:r>
        <w:rPr>
          <w:rFonts w:cs="Arial"/>
        </w:rPr>
        <w:t xml:space="preserve">                                                                                                                    </w:t>
      </w:r>
      <w:r w:rsidRPr="00F91D8B">
        <w:rPr>
          <w:rFonts w:cs="Arial"/>
          <w:u w:val="single"/>
        </w:rPr>
        <w:t>Purposes:</w:t>
      </w:r>
      <w:r w:rsidRPr="00F91D8B">
        <w:rPr>
          <w:rFonts w:cs="Arial"/>
        </w:rPr>
        <w:t xml:space="preserve"> </w:t>
      </w:r>
      <w:r>
        <w:rPr>
          <w:rFonts w:cs="Arial"/>
        </w:rPr>
        <w:t>1</w:t>
      </w:r>
      <w:proofErr w:type="gramStart"/>
      <w:r>
        <w:rPr>
          <w:rFonts w:cs="Arial"/>
        </w:rPr>
        <w:t xml:space="preserve">.  </w:t>
      </w:r>
      <w:r w:rsidRPr="00F91D8B">
        <w:rPr>
          <w:rFonts w:cs="Arial"/>
        </w:rPr>
        <w:t>competently</w:t>
      </w:r>
      <w:proofErr w:type="gramEnd"/>
      <w:r w:rsidRPr="00F91D8B">
        <w:rPr>
          <w:rFonts w:cs="Arial"/>
        </w:rPr>
        <w:t xml:space="preserve"> perform and interpret ne</w:t>
      </w:r>
      <w:r>
        <w:rPr>
          <w:rFonts w:cs="Arial"/>
        </w:rPr>
        <w:t xml:space="preserve">urologic examination techniques; 2.  </w:t>
      </w:r>
      <w:r w:rsidRPr="00F91D8B">
        <w:rPr>
          <w:rFonts w:cs="Arial"/>
        </w:rPr>
        <w:t xml:space="preserve">practice and improve their teaching skills in </w:t>
      </w:r>
      <w:r>
        <w:rPr>
          <w:rFonts w:cs="Arial"/>
        </w:rPr>
        <w:t xml:space="preserve">clinically-relevant scenarios; 3.  </w:t>
      </w:r>
      <w:r w:rsidRPr="00F91D8B">
        <w:rPr>
          <w:rFonts w:cs="Arial"/>
        </w:rPr>
        <w:t xml:space="preserve">re-visit previously-presented neurologic content by teaching it at an in-depth level  </w:t>
      </w:r>
    </w:p>
    <w:p w14:paraId="649974C3" w14:textId="77777777" w:rsidR="00F91D8B" w:rsidRPr="00F91D8B" w:rsidRDefault="00F91D8B" w:rsidP="00F91D8B">
      <w:pPr>
        <w:pStyle w:val="ListParagraph"/>
        <w:numPr>
          <w:ilvl w:val="0"/>
          <w:numId w:val="16"/>
        </w:numPr>
        <w:spacing w:after="120"/>
        <w:rPr>
          <w:rFonts w:cs="Arial"/>
        </w:rPr>
      </w:pPr>
      <w:r w:rsidRPr="00F91D8B">
        <w:rPr>
          <w:rFonts w:cs="Arial"/>
        </w:rPr>
        <w:t xml:space="preserve">Students are assigned a partner and a topic area. Students have 10 minutes to teach their classmates (as peers/colleagues in this course) a specific skill or technique. </w:t>
      </w:r>
    </w:p>
    <w:p w14:paraId="6E21401E" w14:textId="021DFE93" w:rsidR="00F91D8B" w:rsidRPr="00F91D8B" w:rsidRDefault="00F91D8B" w:rsidP="00F91D8B">
      <w:pPr>
        <w:pStyle w:val="ListParagraph"/>
        <w:numPr>
          <w:ilvl w:val="0"/>
          <w:numId w:val="16"/>
        </w:numPr>
        <w:spacing w:after="120"/>
        <w:rPr>
          <w:rFonts w:cs="Arial"/>
        </w:rPr>
      </w:pPr>
      <w:r w:rsidRPr="00F91D8B">
        <w:rPr>
          <w:rFonts w:cs="Arial"/>
        </w:rPr>
        <w:t xml:space="preserve">In the first Student Teaching Lab, </w:t>
      </w:r>
      <w:r w:rsidRPr="00F91D8B">
        <w:rPr>
          <w:rFonts w:cs="Arial"/>
          <w:i/>
        </w:rPr>
        <w:t>Applying Neuroanatomy to Neurologic Examination Tests and Measures</w:t>
      </w:r>
      <w:r w:rsidRPr="00F91D8B">
        <w:rPr>
          <w:rFonts w:cs="Arial"/>
        </w:rPr>
        <w:t xml:space="preserve">, each pair </w:t>
      </w:r>
      <w:r>
        <w:rPr>
          <w:rFonts w:cs="Arial"/>
        </w:rPr>
        <w:t>teaches/</w:t>
      </w:r>
      <w:r w:rsidRPr="00F91D8B">
        <w:rPr>
          <w:rFonts w:cs="Arial"/>
        </w:rPr>
        <w:t>demonstrates examination of a body structure and function (BSF) restriction, and then correlates the results to probable neuroanatomic lesions.  For example, a pair demonstrates the Modified Ashworth Scale and/or the Tardieu Scale, and then correlates exam results to an upper motor neuron lesion as a result of an MCA CVA. The BSF Teaching Lab acts as a review for the midterm written exam which includes content on correlating signs and symptoms to neuroanatomical lesions. </w:t>
      </w:r>
    </w:p>
    <w:p w14:paraId="0CA5B297" w14:textId="53BBFB42" w:rsidR="00F91D8B" w:rsidRPr="00F91D8B" w:rsidRDefault="00F91D8B" w:rsidP="00F91D8B">
      <w:pPr>
        <w:pStyle w:val="ListParagraph"/>
        <w:numPr>
          <w:ilvl w:val="0"/>
          <w:numId w:val="9"/>
        </w:numPr>
        <w:spacing w:after="120"/>
        <w:rPr>
          <w:rFonts w:cs="Arial"/>
        </w:rPr>
      </w:pPr>
      <w:r w:rsidRPr="00F91D8B">
        <w:rPr>
          <w:rFonts w:cs="Arial"/>
        </w:rPr>
        <w:t xml:space="preserve">In the second Student Teaching Lab, </w:t>
      </w:r>
      <w:r w:rsidRPr="00F91D8B">
        <w:rPr>
          <w:rFonts w:cs="Arial"/>
          <w:i/>
        </w:rPr>
        <w:t>Activity and Strategy Assessment for Patients with Neurologic Disorders</w:t>
      </w:r>
      <w:r w:rsidRPr="00F91D8B">
        <w:rPr>
          <w:rFonts w:cs="Arial"/>
        </w:rPr>
        <w:t xml:space="preserve">, each pair </w:t>
      </w:r>
      <w:r>
        <w:rPr>
          <w:rFonts w:cs="Arial"/>
        </w:rPr>
        <w:t>teaches/</w:t>
      </w:r>
      <w:r w:rsidRPr="00F91D8B">
        <w:rPr>
          <w:rFonts w:cs="Arial"/>
        </w:rPr>
        <w:t xml:space="preserve">demonstrates examination of activity level restrictions using an appropriate outcome measure.  Students must apply the outcome measures to a specific patient case (played by a student) with stroke, spinocerebellar degeneration, or </w:t>
      </w:r>
      <w:proofErr w:type="gramStart"/>
      <w:r w:rsidRPr="00F91D8B">
        <w:rPr>
          <w:rFonts w:cs="Arial"/>
        </w:rPr>
        <w:t>Parkinson’s Disease</w:t>
      </w:r>
      <w:proofErr w:type="gramEnd"/>
      <w:r w:rsidRPr="00F91D8B">
        <w:rPr>
          <w:rFonts w:cs="Arial"/>
        </w:rPr>
        <w:t>.  Sample tests include the Clinical Test of Sensory Interaction in Balance and the Timed</w:t>
      </w:r>
      <w:bookmarkStart w:id="0" w:name="_GoBack"/>
      <w:bookmarkEnd w:id="0"/>
      <w:r w:rsidRPr="00F91D8B">
        <w:rPr>
          <w:rFonts w:cs="Arial"/>
        </w:rPr>
        <w:t xml:space="preserve"> Up and Go. The activity level Student Teaching Lab acts as a review for the practical </w:t>
      </w:r>
      <w:r w:rsidRPr="00F91D8B">
        <w:rPr>
          <w:rFonts w:cs="Arial"/>
        </w:rPr>
        <w:lastRenderedPageBreak/>
        <w:t>exam which involves BSF impairment and activity testing for 1 of the 3 cases covered i.e. CVA, PD, and CD.</w:t>
      </w:r>
    </w:p>
    <w:p w14:paraId="4BC10FB7" w14:textId="77777777" w:rsidR="00F91D8B" w:rsidRPr="00F91D8B" w:rsidRDefault="00F91D8B" w:rsidP="00F91D8B">
      <w:pPr>
        <w:pStyle w:val="ListParagraph"/>
        <w:numPr>
          <w:ilvl w:val="0"/>
          <w:numId w:val="9"/>
        </w:numPr>
        <w:spacing w:after="120"/>
        <w:rPr>
          <w:rFonts w:cs="Arial"/>
        </w:rPr>
      </w:pPr>
      <w:r w:rsidRPr="00F91D8B">
        <w:rPr>
          <w:rFonts w:cs="Arial"/>
        </w:rPr>
        <w:t xml:space="preserve">This presentation format requires students to be skilled at their assigned task, to synthesize material that they need to apply in their presentation (e.g. linking neuroanatomy to the neurologic examination), and to teach effectively. </w:t>
      </w:r>
    </w:p>
    <w:p w14:paraId="4884B68C" w14:textId="77777777" w:rsidR="00F91D8B" w:rsidRPr="00F91D8B" w:rsidRDefault="00F91D8B" w:rsidP="00F91D8B">
      <w:pPr>
        <w:pStyle w:val="ListParagraph"/>
        <w:numPr>
          <w:ilvl w:val="0"/>
          <w:numId w:val="9"/>
        </w:numPr>
        <w:spacing w:after="120"/>
        <w:rPr>
          <w:rFonts w:cs="Arial"/>
        </w:rPr>
      </w:pPr>
      <w:r w:rsidRPr="00F91D8B">
        <w:rPr>
          <w:rFonts w:cs="Arial"/>
        </w:rPr>
        <w:t xml:space="preserve">Students have previously been exposed to the neuroanatomy, conditions, cases and outcome measures via lecture, lab, discussion, photographs and videos.  A further goal for the teachers and the learners in the student teaching lab is to solidify both lecture and lab content using a practical application.  Typically the content is presented at a more in-depth level or applied differently from the original exposure during the Student Teaching Lab as the student educators become more knowledgeable for their assigned task.  </w:t>
      </w:r>
    </w:p>
    <w:p w14:paraId="265BF53F" w14:textId="77777777" w:rsidR="00F91D8B" w:rsidRPr="00F91D8B" w:rsidRDefault="00F91D8B" w:rsidP="00F91D8B">
      <w:pPr>
        <w:pStyle w:val="ListParagraph"/>
        <w:numPr>
          <w:ilvl w:val="0"/>
          <w:numId w:val="9"/>
        </w:numPr>
        <w:spacing w:after="120"/>
        <w:rPr>
          <w:rFonts w:cs="Arial"/>
        </w:rPr>
      </w:pPr>
      <w:r w:rsidRPr="00F91D8B">
        <w:rPr>
          <w:rFonts w:cs="Arial"/>
        </w:rPr>
        <w:t xml:space="preserve">During the Student Teaching Lab, students must share roles, including role-playing as patient and physical therapist.  </w:t>
      </w:r>
    </w:p>
    <w:p w14:paraId="30DC4A4E" w14:textId="77777777" w:rsidR="00F91D8B" w:rsidRPr="00F91D8B" w:rsidRDefault="00F91D8B" w:rsidP="00F91D8B">
      <w:pPr>
        <w:pStyle w:val="ListParagraph"/>
        <w:numPr>
          <w:ilvl w:val="0"/>
          <w:numId w:val="9"/>
        </w:numPr>
        <w:spacing w:after="120"/>
        <w:rPr>
          <w:rFonts w:cs="Arial"/>
        </w:rPr>
      </w:pPr>
      <w:r w:rsidRPr="00F91D8B">
        <w:rPr>
          <w:rFonts w:cs="Arial"/>
        </w:rPr>
        <w:t xml:space="preserve">Students determine the effectiveness of their presentation by assessing the audience’s learning (e.g. via quiz, discussion questions, or repeat demonstrations). </w:t>
      </w:r>
    </w:p>
    <w:p w14:paraId="0E1B52B4" w14:textId="77777777" w:rsidR="00F91D8B" w:rsidRPr="00F91D8B" w:rsidRDefault="00F91D8B" w:rsidP="00F91D8B">
      <w:pPr>
        <w:pStyle w:val="ListParagraph"/>
        <w:numPr>
          <w:ilvl w:val="0"/>
          <w:numId w:val="9"/>
        </w:numPr>
        <w:spacing w:after="120"/>
        <w:rPr>
          <w:rFonts w:cs="Arial"/>
        </w:rPr>
      </w:pPr>
      <w:r w:rsidRPr="00F91D8B">
        <w:rPr>
          <w:rFonts w:cs="Arial"/>
        </w:rPr>
        <w:t xml:space="preserve">The Student Teaching Lab presentations are videotaped to allow students to revisit/review the material prior to practical examinations.   All videos are available to all students. </w:t>
      </w:r>
    </w:p>
    <w:p w14:paraId="494077FD" w14:textId="42E36965" w:rsidR="00F91D8B" w:rsidRPr="00F91D8B" w:rsidRDefault="00F91D8B" w:rsidP="00F91D8B">
      <w:pPr>
        <w:pStyle w:val="ListParagraph"/>
        <w:numPr>
          <w:ilvl w:val="0"/>
          <w:numId w:val="9"/>
        </w:numPr>
        <w:spacing w:after="120"/>
        <w:rPr>
          <w:rFonts w:cs="Arial"/>
        </w:rPr>
      </w:pPr>
      <w:r w:rsidRPr="00F91D8B">
        <w:rPr>
          <w:rFonts w:cs="Arial"/>
        </w:rPr>
        <w:t xml:space="preserve">Sample YouTube links are available: </w:t>
      </w:r>
    </w:p>
    <w:p w14:paraId="49481261" w14:textId="77777777" w:rsidR="00F91D8B" w:rsidRPr="00F91D8B" w:rsidRDefault="00F91D8B" w:rsidP="00F91D8B">
      <w:pPr>
        <w:pStyle w:val="ListParagraph"/>
        <w:spacing w:after="120"/>
        <w:rPr>
          <w:rFonts w:cs="Arial"/>
        </w:rPr>
      </w:pPr>
      <w:r w:rsidRPr="00F91D8B">
        <w:rPr>
          <w:rFonts w:cs="Arial"/>
        </w:rPr>
        <w:t xml:space="preserve"> </w:t>
      </w:r>
      <w:hyperlink r:id="rId10" w:history="1">
        <w:r w:rsidRPr="00F91D8B">
          <w:rPr>
            <w:rStyle w:val="Hyperlink"/>
            <w:rFonts w:cs="Arial"/>
          </w:rPr>
          <w:t>https://www.youtube.com/watch?v=GtSdW7Y2d9g&amp;feature=youtu.be</w:t>
        </w:r>
      </w:hyperlink>
    </w:p>
    <w:p w14:paraId="6CF5FB89" w14:textId="77777777" w:rsidR="00F91D8B" w:rsidRPr="00F91D8B" w:rsidRDefault="00F91D8B" w:rsidP="00F91D8B">
      <w:pPr>
        <w:pStyle w:val="ListParagraph"/>
        <w:spacing w:after="120"/>
        <w:rPr>
          <w:rFonts w:cs="Arial"/>
        </w:rPr>
      </w:pPr>
      <w:r w:rsidRPr="00F91D8B">
        <w:rPr>
          <w:rFonts w:cs="Arial"/>
        </w:rPr>
        <w:t xml:space="preserve"> </w:t>
      </w:r>
      <w:hyperlink r:id="rId11" w:history="1">
        <w:r w:rsidRPr="00F91D8B">
          <w:rPr>
            <w:rStyle w:val="Hyperlink"/>
            <w:rFonts w:cs="Arial"/>
          </w:rPr>
          <w:t>https://www.youtube.com/watch?v=21hsISqesmw&amp;feature=youtu.be</w:t>
        </w:r>
      </w:hyperlink>
      <w:r w:rsidRPr="00F91D8B">
        <w:rPr>
          <w:rFonts w:cs="Arial"/>
        </w:rPr>
        <w:t xml:space="preserve"> </w:t>
      </w:r>
    </w:p>
    <w:p w14:paraId="33BFB0FB" w14:textId="77777777" w:rsidR="00F91D8B" w:rsidRPr="00F91D8B" w:rsidRDefault="00F91D8B" w:rsidP="00F91D8B">
      <w:pPr>
        <w:spacing w:after="120"/>
        <w:rPr>
          <w:rFonts w:cs="Arial"/>
        </w:rPr>
      </w:pPr>
    </w:p>
    <w:p w14:paraId="5BF54A8C" w14:textId="77777777" w:rsidR="00F91D8B" w:rsidRPr="00F91D8B" w:rsidRDefault="00F91D8B" w:rsidP="00F91D8B">
      <w:pPr>
        <w:pStyle w:val="ListParagraph"/>
        <w:numPr>
          <w:ilvl w:val="0"/>
          <w:numId w:val="9"/>
        </w:numPr>
        <w:spacing w:after="120"/>
        <w:rPr>
          <w:rFonts w:cs="Arial"/>
        </w:rPr>
      </w:pPr>
      <w:r w:rsidRPr="00F91D8B">
        <w:rPr>
          <w:rFonts w:cs="Arial"/>
        </w:rPr>
        <w:t>Examples of topics covered in the two Student Teaching Labs:</w:t>
      </w:r>
    </w:p>
    <w:p w14:paraId="6C39D3FE" w14:textId="77777777" w:rsidR="00F91D8B" w:rsidRPr="00F91D8B" w:rsidRDefault="00F91D8B" w:rsidP="00F91D8B">
      <w:pPr>
        <w:pStyle w:val="ListParagraph"/>
        <w:numPr>
          <w:ilvl w:val="1"/>
          <w:numId w:val="9"/>
        </w:numPr>
        <w:spacing w:after="120"/>
        <w:rPr>
          <w:rFonts w:cs="Arial"/>
        </w:rPr>
      </w:pPr>
      <w:r w:rsidRPr="00F91D8B">
        <w:rPr>
          <w:rFonts w:cs="Arial"/>
        </w:rPr>
        <w:t>Applying Neuroanatomy to Neurologic Examination Tests &amp; Measures</w:t>
      </w:r>
    </w:p>
    <w:p w14:paraId="0186B023" w14:textId="77777777" w:rsidR="00F91D8B" w:rsidRPr="00F91D8B" w:rsidRDefault="00F91D8B" w:rsidP="00F91D8B">
      <w:pPr>
        <w:pStyle w:val="ListParagraph"/>
        <w:numPr>
          <w:ilvl w:val="2"/>
          <w:numId w:val="9"/>
        </w:numPr>
        <w:spacing w:after="120"/>
        <w:rPr>
          <w:rFonts w:cs="Arial"/>
        </w:rPr>
      </w:pPr>
      <w:r w:rsidRPr="00F91D8B">
        <w:rPr>
          <w:rFonts w:cs="Arial"/>
        </w:rPr>
        <w:t>Mental status exam</w:t>
      </w:r>
    </w:p>
    <w:p w14:paraId="271FE1BE" w14:textId="77777777" w:rsidR="00F91D8B" w:rsidRPr="00F91D8B" w:rsidRDefault="00F91D8B" w:rsidP="00F91D8B">
      <w:pPr>
        <w:pStyle w:val="ListParagraph"/>
        <w:numPr>
          <w:ilvl w:val="2"/>
          <w:numId w:val="9"/>
        </w:numPr>
        <w:spacing w:after="120"/>
        <w:rPr>
          <w:rFonts w:cs="Arial"/>
        </w:rPr>
      </w:pPr>
      <w:r w:rsidRPr="00F91D8B">
        <w:rPr>
          <w:rFonts w:cs="Arial"/>
        </w:rPr>
        <w:t>Sensory testing (including higher order sensory processing)</w:t>
      </w:r>
    </w:p>
    <w:p w14:paraId="0D240441" w14:textId="77777777" w:rsidR="00F91D8B" w:rsidRPr="00F91D8B" w:rsidRDefault="00F91D8B" w:rsidP="00F91D8B">
      <w:pPr>
        <w:pStyle w:val="ListParagraph"/>
        <w:numPr>
          <w:ilvl w:val="2"/>
          <w:numId w:val="9"/>
        </w:numPr>
        <w:spacing w:after="120"/>
        <w:rPr>
          <w:rFonts w:cs="Arial"/>
        </w:rPr>
      </w:pPr>
      <w:r w:rsidRPr="00F91D8B">
        <w:rPr>
          <w:rFonts w:cs="Arial"/>
        </w:rPr>
        <w:t>Reflex testing (DTRs, superficial, etc.)</w:t>
      </w:r>
    </w:p>
    <w:p w14:paraId="39C3E281" w14:textId="77777777" w:rsidR="00F91D8B" w:rsidRPr="00F91D8B" w:rsidRDefault="00F91D8B" w:rsidP="00F91D8B">
      <w:pPr>
        <w:pStyle w:val="ListParagraph"/>
        <w:numPr>
          <w:ilvl w:val="2"/>
          <w:numId w:val="9"/>
        </w:numPr>
        <w:spacing w:after="120"/>
        <w:rPr>
          <w:rFonts w:cs="Arial"/>
        </w:rPr>
      </w:pPr>
      <w:r w:rsidRPr="00F91D8B">
        <w:rPr>
          <w:rFonts w:cs="Arial"/>
        </w:rPr>
        <w:t>Coordination testing</w:t>
      </w:r>
    </w:p>
    <w:p w14:paraId="2AD5497E" w14:textId="77777777" w:rsidR="00F91D8B" w:rsidRPr="00F91D8B" w:rsidRDefault="00F91D8B" w:rsidP="00F91D8B">
      <w:pPr>
        <w:pStyle w:val="ListParagraph"/>
        <w:numPr>
          <w:ilvl w:val="2"/>
          <w:numId w:val="9"/>
        </w:numPr>
        <w:spacing w:after="120"/>
        <w:rPr>
          <w:rFonts w:cs="Arial"/>
        </w:rPr>
      </w:pPr>
      <w:r w:rsidRPr="00F91D8B">
        <w:rPr>
          <w:rFonts w:cs="Arial"/>
        </w:rPr>
        <w:t>Frontal lobe function tests</w:t>
      </w:r>
    </w:p>
    <w:p w14:paraId="537121AB" w14:textId="77777777" w:rsidR="00F91D8B" w:rsidRPr="00F91D8B" w:rsidRDefault="00F91D8B" w:rsidP="00F91D8B">
      <w:pPr>
        <w:pStyle w:val="ListParagraph"/>
        <w:numPr>
          <w:ilvl w:val="2"/>
          <w:numId w:val="9"/>
        </w:numPr>
        <w:spacing w:after="120"/>
        <w:rPr>
          <w:rFonts w:cs="Arial"/>
        </w:rPr>
      </w:pPr>
      <w:r w:rsidRPr="00F91D8B">
        <w:rPr>
          <w:rFonts w:cs="Arial"/>
        </w:rPr>
        <w:t>Cranial nerve screen</w:t>
      </w:r>
    </w:p>
    <w:p w14:paraId="36256E1F" w14:textId="77777777" w:rsidR="00F91D8B" w:rsidRPr="00F91D8B" w:rsidRDefault="00F91D8B" w:rsidP="00F91D8B">
      <w:pPr>
        <w:pStyle w:val="ListParagraph"/>
        <w:numPr>
          <w:ilvl w:val="2"/>
          <w:numId w:val="9"/>
        </w:numPr>
        <w:spacing w:after="120"/>
        <w:rPr>
          <w:rFonts w:cs="Arial"/>
        </w:rPr>
      </w:pPr>
      <w:r w:rsidRPr="00F91D8B">
        <w:rPr>
          <w:rFonts w:cs="Arial"/>
        </w:rPr>
        <w:t>Tone assessment (Modified Ashworth Scale, Tardieu)</w:t>
      </w:r>
    </w:p>
    <w:p w14:paraId="54FE5C4C" w14:textId="77777777" w:rsidR="00F91D8B" w:rsidRPr="00F91D8B" w:rsidRDefault="00F91D8B" w:rsidP="00F91D8B">
      <w:pPr>
        <w:pStyle w:val="ListParagraph"/>
        <w:numPr>
          <w:ilvl w:val="2"/>
          <w:numId w:val="9"/>
        </w:numPr>
        <w:spacing w:after="120"/>
        <w:rPr>
          <w:rFonts w:cs="Arial"/>
        </w:rPr>
      </w:pPr>
      <w:r w:rsidRPr="00F91D8B">
        <w:rPr>
          <w:rFonts w:cs="Arial"/>
        </w:rPr>
        <w:t>Abnormal synergy assessment (</w:t>
      </w:r>
      <w:proofErr w:type="spellStart"/>
      <w:r w:rsidRPr="00F91D8B">
        <w:rPr>
          <w:rFonts w:cs="Arial"/>
        </w:rPr>
        <w:t>Fugl</w:t>
      </w:r>
      <w:proofErr w:type="spellEnd"/>
      <w:r w:rsidRPr="00F91D8B">
        <w:rPr>
          <w:rFonts w:cs="Arial"/>
        </w:rPr>
        <w:t>-Meyer)</w:t>
      </w:r>
    </w:p>
    <w:p w14:paraId="436421FE" w14:textId="246AF7DD" w:rsidR="00F91D8B" w:rsidRPr="008B5EFC" w:rsidRDefault="00F91D8B" w:rsidP="00F91D8B">
      <w:pPr>
        <w:pStyle w:val="ListParagraph"/>
        <w:numPr>
          <w:ilvl w:val="2"/>
          <w:numId w:val="9"/>
        </w:numPr>
        <w:spacing w:after="120"/>
        <w:rPr>
          <w:rFonts w:cs="Arial"/>
        </w:rPr>
      </w:pPr>
      <w:r w:rsidRPr="00F91D8B">
        <w:rPr>
          <w:rFonts w:cs="Arial"/>
        </w:rPr>
        <w:t>Communication assessment with patient with aphasia</w:t>
      </w:r>
    </w:p>
    <w:p w14:paraId="7378E7C9" w14:textId="77777777" w:rsidR="00F91D8B" w:rsidRPr="00F91D8B" w:rsidRDefault="00F91D8B" w:rsidP="00F91D8B">
      <w:pPr>
        <w:pStyle w:val="ListParagraph"/>
        <w:numPr>
          <w:ilvl w:val="1"/>
          <w:numId w:val="9"/>
        </w:numPr>
        <w:spacing w:after="120"/>
        <w:rPr>
          <w:rFonts w:cs="Arial"/>
        </w:rPr>
      </w:pPr>
      <w:r w:rsidRPr="00F91D8B">
        <w:rPr>
          <w:rFonts w:cs="Arial"/>
        </w:rPr>
        <w:t>Activity &amp; Strategy Assessment for Patients with Neurologic Disorders</w:t>
      </w:r>
    </w:p>
    <w:p w14:paraId="0060F40C" w14:textId="77777777" w:rsidR="00F91D8B" w:rsidRPr="00F91D8B" w:rsidRDefault="00F91D8B" w:rsidP="00F91D8B">
      <w:pPr>
        <w:pStyle w:val="ListParagraph"/>
        <w:numPr>
          <w:ilvl w:val="2"/>
          <w:numId w:val="9"/>
        </w:numPr>
        <w:spacing w:after="120"/>
        <w:rPr>
          <w:rFonts w:cs="Arial"/>
        </w:rPr>
      </w:pPr>
      <w:r w:rsidRPr="00F91D8B">
        <w:rPr>
          <w:rFonts w:cs="Arial"/>
        </w:rPr>
        <w:t>Gait speed</w:t>
      </w:r>
    </w:p>
    <w:p w14:paraId="227F24BD" w14:textId="77777777" w:rsidR="00F91D8B" w:rsidRPr="00F91D8B" w:rsidRDefault="00F91D8B" w:rsidP="00F91D8B">
      <w:pPr>
        <w:pStyle w:val="ListParagraph"/>
        <w:numPr>
          <w:ilvl w:val="2"/>
          <w:numId w:val="9"/>
        </w:numPr>
        <w:spacing w:after="120"/>
        <w:rPr>
          <w:rFonts w:cs="Arial"/>
        </w:rPr>
      </w:pPr>
      <w:r w:rsidRPr="00F91D8B">
        <w:rPr>
          <w:rFonts w:cs="Arial"/>
        </w:rPr>
        <w:t>Timed Up &amp; Go</w:t>
      </w:r>
    </w:p>
    <w:p w14:paraId="02B118DE" w14:textId="77777777" w:rsidR="00F91D8B" w:rsidRPr="00F91D8B" w:rsidRDefault="00F91D8B" w:rsidP="00F91D8B">
      <w:pPr>
        <w:pStyle w:val="ListParagraph"/>
        <w:numPr>
          <w:ilvl w:val="2"/>
          <w:numId w:val="9"/>
        </w:numPr>
        <w:spacing w:after="120"/>
        <w:rPr>
          <w:rFonts w:cs="Arial"/>
        </w:rPr>
      </w:pPr>
      <w:r w:rsidRPr="00F91D8B">
        <w:rPr>
          <w:rFonts w:cs="Arial"/>
        </w:rPr>
        <w:t>Berg Balance Scale</w:t>
      </w:r>
    </w:p>
    <w:p w14:paraId="5F13B2F8" w14:textId="77777777" w:rsidR="00F91D8B" w:rsidRPr="00F91D8B" w:rsidRDefault="00F91D8B" w:rsidP="00F91D8B">
      <w:pPr>
        <w:pStyle w:val="ListParagraph"/>
        <w:numPr>
          <w:ilvl w:val="2"/>
          <w:numId w:val="9"/>
        </w:numPr>
        <w:spacing w:after="120"/>
        <w:rPr>
          <w:rFonts w:cs="Arial"/>
        </w:rPr>
      </w:pPr>
      <w:r w:rsidRPr="00F91D8B">
        <w:rPr>
          <w:rFonts w:cs="Arial"/>
        </w:rPr>
        <w:t>Dynamic Gait Index/Functional Gait Assessment</w:t>
      </w:r>
    </w:p>
    <w:p w14:paraId="11C5C863" w14:textId="77777777" w:rsidR="00F91D8B" w:rsidRPr="00F91D8B" w:rsidRDefault="00F91D8B" w:rsidP="00F91D8B">
      <w:pPr>
        <w:pStyle w:val="ListParagraph"/>
        <w:numPr>
          <w:ilvl w:val="2"/>
          <w:numId w:val="9"/>
        </w:numPr>
        <w:spacing w:after="120"/>
        <w:rPr>
          <w:rFonts w:cs="Arial"/>
        </w:rPr>
      </w:pPr>
      <w:r w:rsidRPr="00F91D8B">
        <w:rPr>
          <w:rFonts w:cs="Arial"/>
        </w:rPr>
        <w:t>Clinical Test of Sensory Interaction and Balance (CTSIB)</w:t>
      </w:r>
    </w:p>
    <w:p w14:paraId="6BA544D8" w14:textId="77777777" w:rsidR="00F91D8B" w:rsidRPr="00F91D8B" w:rsidRDefault="00F91D8B" w:rsidP="00F91D8B">
      <w:pPr>
        <w:pStyle w:val="ListParagraph"/>
        <w:numPr>
          <w:ilvl w:val="2"/>
          <w:numId w:val="9"/>
        </w:numPr>
        <w:spacing w:after="120"/>
        <w:rPr>
          <w:rFonts w:cs="Arial"/>
        </w:rPr>
      </w:pPr>
      <w:r w:rsidRPr="00F91D8B">
        <w:rPr>
          <w:rFonts w:cs="Arial"/>
        </w:rPr>
        <w:t>Performance-Oriented Mobility Assessment (POMA aka “</w:t>
      </w:r>
      <w:proofErr w:type="spellStart"/>
      <w:r w:rsidRPr="00F91D8B">
        <w:rPr>
          <w:rFonts w:cs="Arial"/>
        </w:rPr>
        <w:t>Tinetti</w:t>
      </w:r>
      <w:proofErr w:type="spellEnd"/>
      <w:r w:rsidRPr="00F91D8B">
        <w:rPr>
          <w:rFonts w:cs="Arial"/>
        </w:rPr>
        <w:t>”)</w:t>
      </w:r>
    </w:p>
    <w:p w14:paraId="3E4F0C3A" w14:textId="77777777" w:rsidR="00F91D8B" w:rsidRPr="00F91D8B" w:rsidRDefault="00F91D8B" w:rsidP="00F91D8B">
      <w:pPr>
        <w:pStyle w:val="ListParagraph"/>
        <w:numPr>
          <w:ilvl w:val="2"/>
          <w:numId w:val="9"/>
        </w:numPr>
        <w:spacing w:after="120"/>
        <w:rPr>
          <w:rFonts w:cs="Arial"/>
        </w:rPr>
      </w:pPr>
      <w:r w:rsidRPr="00F91D8B">
        <w:rPr>
          <w:rFonts w:cs="Arial"/>
        </w:rPr>
        <w:t>Gait Assessment Rating Scale (GARS)</w:t>
      </w:r>
    </w:p>
    <w:p w14:paraId="7994ED5A" w14:textId="77777777" w:rsidR="00F91D8B" w:rsidRPr="00F91D8B" w:rsidRDefault="00F91D8B" w:rsidP="00F91D8B">
      <w:pPr>
        <w:pStyle w:val="ListParagraph"/>
        <w:numPr>
          <w:ilvl w:val="2"/>
          <w:numId w:val="9"/>
        </w:numPr>
        <w:spacing w:after="120"/>
        <w:rPr>
          <w:rFonts w:cs="Arial"/>
        </w:rPr>
      </w:pPr>
      <w:r w:rsidRPr="00F91D8B">
        <w:rPr>
          <w:rFonts w:cs="Arial"/>
        </w:rPr>
        <w:t>Strategy testing: bed mobility</w:t>
      </w:r>
    </w:p>
    <w:p w14:paraId="61627F31" w14:textId="77777777" w:rsidR="00F91D8B" w:rsidRPr="00F91D8B" w:rsidRDefault="00F91D8B" w:rsidP="00F91D8B">
      <w:pPr>
        <w:pStyle w:val="ListParagraph"/>
        <w:numPr>
          <w:ilvl w:val="2"/>
          <w:numId w:val="9"/>
        </w:numPr>
        <w:spacing w:after="120"/>
        <w:rPr>
          <w:rFonts w:cs="Arial"/>
        </w:rPr>
      </w:pPr>
      <w:r w:rsidRPr="00F91D8B">
        <w:rPr>
          <w:rFonts w:cs="Arial"/>
        </w:rPr>
        <w:lastRenderedPageBreak/>
        <w:t>Strategy testing: sit to stand</w:t>
      </w:r>
    </w:p>
    <w:p w14:paraId="09DFDA2E" w14:textId="0853B288" w:rsidR="00180802" w:rsidRPr="008B5EFC" w:rsidRDefault="00F91D8B" w:rsidP="00F91D8B">
      <w:pPr>
        <w:pStyle w:val="ListParagraph"/>
        <w:numPr>
          <w:ilvl w:val="2"/>
          <w:numId w:val="9"/>
        </w:numPr>
        <w:spacing w:after="120"/>
        <w:rPr>
          <w:rFonts w:cs="Arial"/>
        </w:rPr>
      </w:pPr>
      <w:r w:rsidRPr="00F91D8B">
        <w:rPr>
          <w:rFonts w:cs="Arial"/>
        </w:rPr>
        <w:t>Strategy testing: stairs</w:t>
      </w:r>
    </w:p>
    <w:p w14:paraId="67242E5B" w14:textId="404667D0" w:rsidR="005238A5" w:rsidRDefault="005238A5" w:rsidP="00F91D8B">
      <w:pPr>
        <w:spacing w:after="120"/>
        <w:rPr>
          <w:rFonts w:cs="Arial"/>
        </w:rPr>
      </w:pPr>
    </w:p>
    <w:p w14:paraId="0DF4C122" w14:textId="77777777" w:rsidR="008B5EFC" w:rsidRPr="00F91D8B" w:rsidRDefault="008B5EFC" w:rsidP="00F91D8B">
      <w:pPr>
        <w:spacing w:after="120"/>
        <w:rPr>
          <w:rFonts w:cs="Arial"/>
        </w:rPr>
      </w:pPr>
    </w:p>
    <w:p w14:paraId="0CE4E017" w14:textId="77734134" w:rsidR="00143AF1" w:rsidRPr="008B5EFC" w:rsidRDefault="0051682E" w:rsidP="008B5EFC">
      <w:pPr>
        <w:spacing w:after="120"/>
        <w:rPr>
          <w:rFonts w:cs="Arial"/>
        </w:rPr>
      </w:pPr>
      <w:r w:rsidRPr="008B5EFC">
        <w:rPr>
          <w:rFonts w:cs="Arial"/>
          <w:u w:val="single"/>
        </w:rPr>
        <w:t xml:space="preserve">Time for student </w:t>
      </w:r>
      <w:r w:rsidR="000B0734" w:rsidRPr="008B5EFC">
        <w:rPr>
          <w:rFonts w:cs="Arial"/>
          <w:u w:val="single"/>
        </w:rPr>
        <w:t>to complete the activity</w:t>
      </w:r>
      <w:r w:rsidR="00F4284B" w:rsidRPr="008B5EFC">
        <w:rPr>
          <w:rFonts w:cs="Arial"/>
          <w:u w:val="single"/>
        </w:rPr>
        <w:t>:</w:t>
      </w:r>
      <w:r w:rsidR="000B0734" w:rsidRPr="008B5EFC">
        <w:rPr>
          <w:rFonts w:cs="Arial"/>
          <w:u w:val="single"/>
        </w:rPr>
        <w:t xml:space="preserve"> </w:t>
      </w:r>
      <w:r w:rsidR="00DB798A" w:rsidRPr="008B5EFC">
        <w:rPr>
          <w:rFonts w:cs="Arial"/>
          <w:u w:val="single"/>
        </w:rPr>
        <w:t xml:space="preserve"> </w:t>
      </w:r>
      <w:r w:rsidR="008B5EFC" w:rsidRPr="008B5EFC">
        <w:rPr>
          <w:rFonts w:cs="Arial"/>
          <w:u w:val="single"/>
        </w:rPr>
        <w:t xml:space="preserve">                                                                                                                                 </w:t>
      </w:r>
      <w:r w:rsidR="008B5EFC">
        <w:rPr>
          <w:rFonts w:cs="Arial"/>
        </w:rPr>
        <w:t xml:space="preserve">1.  </w:t>
      </w:r>
      <w:r w:rsidR="00DB798A" w:rsidRPr="008B5EFC">
        <w:rPr>
          <w:rFonts w:cs="Arial"/>
        </w:rPr>
        <w:t xml:space="preserve"> </w:t>
      </w:r>
      <w:r w:rsidR="000B0734" w:rsidRPr="008B5EFC">
        <w:rPr>
          <w:rFonts w:cs="Arial"/>
        </w:rPr>
        <w:t>preparation for activity</w:t>
      </w:r>
      <w:r w:rsidR="00AA6A79" w:rsidRPr="008B5EFC">
        <w:rPr>
          <w:rFonts w:cs="Arial"/>
        </w:rPr>
        <w:t xml:space="preserve"> </w:t>
      </w:r>
      <w:r w:rsidR="001559E2" w:rsidRPr="008B5EFC">
        <w:rPr>
          <w:rFonts w:cs="Arial"/>
        </w:rPr>
        <w:t>outside of/</w:t>
      </w:r>
      <w:r w:rsidR="00AA6A79" w:rsidRPr="008B5EFC">
        <w:rPr>
          <w:rFonts w:cs="Arial"/>
        </w:rPr>
        <w:t>before class</w:t>
      </w:r>
      <w:r w:rsidR="000B0734" w:rsidRPr="008B5EFC">
        <w:rPr>
          <w:rFonts w:cs="Arial"/>
        </w:rPr>
        <w:t xml:space="preserve">: </w:t>
      </w:r>
      <w:r w:rsidR="00DB798A" w:rsidRPr="008B5EFC">
        <w:rPr>
          <w:rFonts w:cs="Arial"/>
        </w:rPr>
        <w:t xml:space="preserve"> Students must spend time practicing their assigned skill and developing their presentation.</w:t>
      </w:r>
      <w:r w:rsidR="00D612AD" w:rsidRPr="008B5EFC">
        <w:rPr>
          <w:rFonts w:cs="Arial"/>
        </w:rPr>
        <w:t xml:space="preserve">  </w:t>
      </w:r>
      <w:r w:rsidR="00DB798A" w:rsidRPr="008B5EFC">
        <w:rPr>
          <w:rFonts w:cs="Arial"/>
        </w:rPr>
        <w:t xml:space="preserve">Students are scored on their presentation </w:t>
      </w:r>
      <w:r w:rsidR="00B37608" w:rsidRPr="008B5EFC">
        <w:rPr>
          <w:rFonts w:cs="Arial"/>
        </w:rPr>
        <w:t>sequence</w:t>
      </w:r>
      <w:r w:rsidR="00DB798A" w:rsidRPr="008B5EFC">
        <w:rPr>
          <w:rFonts w:cs="Arial"/>
        </w:rPr>
        <w:t xml:space="preserve">, </w:t>
      </w:r>
      <w:r w:rsidR="00905C53" w:rsidRPr="008B5EFC">
        <w:rPr>
          <w:rFonts w:cs="Arial"/>
        </w:rPr>
        <w:t>content</w:t>
      </w:r>
      <w:r w:rsidR="00143AF1" w:rsidRPr="008B5EFC">
        <w:rPr>
          <w:rFonts w:cs="Arial"/>
        </w:rPr>
        <w:t>,</w:t>
      </w:r>
      <w:r w:rsidR="00905C53" w:rsidRPr="008B5EFC">
        <w:rPr>
          <w:rFonts w:cs="Arial"/>
        </w:rPr>
        <w:t xml:space="preserve"> </w:t>
      </w:r>
      <w:r w:rsidR="00DB798A" w:rsidRPr="008B5EFC">
        <w:rPr>
          <w:rFonts w:cs="Arial"/>
        </w:rPr>
        <w:t>and delivery, so they are expected to rehearse ahead of time.</w:t>
      </w:r>
      <w:r w:rsidR="008B5EFC">
        <w:rPr>
          <w:rFonts w:cs="Arial"/>
        </w:rPr>
        <w:t xml:space="preserve">                                                                                               2.  </w:t>
      </w:r>
      <w:proofErr w:type="gramStart"/>
      <w:r w:rsidR="000B0734" w:rsidRPr="008B5EFC">
        <w:rPr>
          <w:rFonts w:cs="Arial"/>
        </w:rPr>
        <w:t>class</w:t>
      </w:r>
      <w:proofErr w:type="gramEnd"/>
      <w:r w:rsidR="000B0734" w:rsidRPr="008B5EFC">
        <w:rPr>
          <w:rFonts w:cs="Arial"/>
        </w:rPr>
        <w:t xml:space="preserve"> time completion of the activity: </w:t>
      </w:r>
      <w:r w:rsidR="00DB798A" w:rsidRPr="008B5EFC">
        <w:rPr>
          <w:rFonts w:cs="Arial"/>
        </w:rPr>
        <w:t xml:space="preserve"> 10 minutes per pair of students; total class time depends on class size (at GW this is usually 4 hours)</w:t>
      </w:r>
      <w:r w:rsidR="0078617F" w:rsidRPr="008B5EFC">
        <w:rPr>
          <w:rFonts w:cs="Arial"/>
        </w:rPr>
        <w:t xml:space="preserve"> </w:t>
      </w:r>
    </w:p>
    <w:p w14:paraId="7F89EDB1" w14:textId="77777777" w:rsidR="008760AC" w:rsidRPr="00F91D8B" w:rsidRDefault="008760AC" w:rsidP="00F91D8B">
      <w:pPr>
        <w:pStyle w:val="ListParagraph"/>
        <w:spacing w:after="120"/>
        <w:ind w:left="1080"/>
        <w:rPr>
          <w:rFonts w:cs="Arial"/>
        </w:rPr>
      </w:pPr>
    </w:p>
    <w:p w14:paraId="697872B1" w14:textId="77777777" w:rsidR="004E4F5B" w:rsidRPr="00F91D8B" w:rsidRDefault="004E4F5B" w:rsidP="00F91D8B">
      <w:pPr>
        <w:spacing w:after="120"/>
        <w:ind w:left="360"/>
        <w:rPr>
          <w:rFonts w:cs="Arial"/>
        </w:rPr>
      </w:pPr>
    </w:p>
    <w:p w14:paraId="1E1D26C9" w14:textId="77777777" w:rsidR="007D1606" w:rsidRPr="00F91D8B" w:rsidRDefault="007D1606" w:rsidP="00F91D8B">
      <w:pPr>
        <w:pStyle w:val="ListParagraph"/>
        <w:spacing w:after="120"/>
        <w:ind w:left="360"/>
        <w:rPr>
          <w:rFonts w:cs="Arial"/>
        </w:rPr>
      </w:pPr>
    </w:p>
    <w:p w14:paraId="6CA3EDA7" w14:textId="3BB61810" w:rsidR="00DB7430" w:rsidRPr="008B5EFC" w:rsidRDefault="0051682E" w:rsidP="008B5EFC">
      <w:pPr>
        <w:spacing w:after="120"/>
        <w:rPr>
          <w:rFonts w:cs="Arial"/>
        </w:rPr>
      </w:pPr>
      <w:r w:rsidRPr="008B5EFC">
        <w:rPr>
          <w:rFonts w:cs="Arial"/>
          <w:u w:val="single"/>
        </w:rPr>
        <w:t>Readings/other preparatory materials</w:t>
      </w:r>
      <w:r w:rsidR="000B0734" w:rsidRPr="008B5EFC">
        <w:rPr>
          <w:rFonts w:cs="Arial"/>
        </w:rPr>
        <w:t>:</w:t>
      </w:r>
    </w:p>
    <w:p w14:paraId="7603E9D9" w14:textId="13A11C48" w:rsidR="00F20B33" w:rsidRPr="00F91D8B" w:rsidRDefault="00F20B33" w:rsidP="00F91D8B">
      <w:pPr>
        <w:pStyle w:val="ListParagraph"/>
        <w:numPr>
          <w:ilvl w:val="0"/>
          <w:numId w:val="9"/>
        </w:numPr>
        <w:spacing w:after="120"/>
        <w:rPr>
          <w:rFonts w:cs="Arial"/>
        </w:rPr>
      </w:pPr>
      <w:r w:rsidRPr="00F91D8B">
        <w:rPr>
          <w:rFonts w:cs="Arial"/>
        </w:rPr>
        <w:t>To design their presentation</w:t>
      </w:r>
      <w:r w:rsidR="008707D9" w:rsidRPr="00F91D8B">
        <w:rPr>
          <w:rFonts w:cs="Arial"/>
        </w:rPr>
        <w:t xml:space="preserve"> </w:t>
      </w:r>
      <w:r w:rsidR="00143AF1" w:rsidRPr="00F91D8B">
        <w:rPr>
          <w:rFonts w:cs="Arial"/>
        </w:rPr>
        <w:t>for</w:t>
      </w:r>
      <w:r w:rsidR="008707D9" w:rsidRPr="00F91D8B">
        <w:rPr>
          <w:rFonts w:cs="Arial"/>
        </w:rPr>
        <w:t xml:space="preserve"> their peers/colleagues</w:t>
      </w:r>
      <w:r w:rsidRPr="00F91D8B">
        <w:rPr>
          <w:rFonts w:cs="Arial"/>
        </w:rPr>
        <w:t>, students review:</w:t>
      </w:r>
    </w:p>
    <w:p w14:paraId="447C7792" w14:textId="74D8D717" w:rsidR="00F20B33" w:rsidRPr="00F91D8B" w:rsidRDefault="00F20B33" w:rsidP="00F91D8B">
      <w:pPr>
        <w:pStyle w:val="ListParagraph"/>
        <w:numPr>
          <w:ilvl w:val="1"/>
          <w:numId w:val="9"/>
        </w:numPr>
        <w:spacing w:after="120"/>
        <w:rPr>
          <w:rFonts w:cs="Arial"/>
        </w:rPr>
      </w:pPr>
      <w:proofErr w:type="spellStart"/>
      <w:r w:rsidRPr="00F91D8B">
        <w:rPr>
          <w:rFonts w:cs="Arial"/>
        </w:rPr>
        <w:t>Plack</w:t>
      </w:r>
      <w:proofErr w:type="spellEnd"/>
      <w:r w:rsidRPr="00F91D8B">
        <w:rPr>
          <w:rFonts w:cs="Arial"/>
        </w:rPr>
        <w:t xml:space="preserve"> M &amp; Driscoll M.  2011.  Design Considerations:  Adapting Instruction for Varied Audiences and Formats in Teaching and Learning in Physical Therapy:  From Classroom to Clinic.  Slack Incorporated, NJ.</w:t>
      </w:r>
    </w:p>
    <w:p w14:paraId="4940D8DA" w14:textId="326F6A25" w:rsidR="00F20B33" w:rsidRPr="00F91D8B" w:rsidRDefault="00A52973" w:rsidP="00F91D8B">
      <w:pPr>
        <w:pStyle w:val="ListParagraph"/>
        <w:numPr>
          <w:ilvl w:val="0"/>
          <w:numId w:val="9"/>
        </w:numPr>
        <w:spacing w:after="120"/>
        <w:rPr>
          <w:rFonts w:cs="Arial"/>
        </w:rPr>
      </w:pPr>
      <w:r w:rsidRPr="00F91D8B">
        <w:rPr>
          <w:rFonts w:cs="Arial"/>
        </w:rPr>
        <w:t>For the neurology content, s</w:t>
      </w:r>
      <w:r w:rsidR="00D75085" w:rsidRPr="00F91D8B">
        <w:rPr>
          <w:rFonts w:cs="Arial"/>
        </w:rPr>
        <w:t>tudents utilize the c</w:t>
      </w:r>
      <w:r w:rsidR="00143AF1" w:rsidRPr="00F91D8B">
        <w:rPr>
          <w:rFonts w:cs="Arial"/>
        </w:rPr>
        <w:t>ourse</w:t>
      </w:r>
      <w:r w:rsidR="00D75085" w:rsidRPr="00F91D8B">
        <w:rPr>
          <w:rFonts w:cs="Arial"/>
        </w:rPr>
        <w:t xml:space="preserve"> textbook, course lecture</w:t>
      </w:r>
      <w:r w:rsidR="00143AF1" w:rsidRPr="00F91D8B">
        <w:rPr>
          <w:rFonts w:cs="Arial"/>
        </w:rPr>
        <w:t>,</w:t>
      </w:r>
      <w:r w:rsidR="00D75085" w:rsidRPr="00F91D8B">
        <w:rPr>
          <w:rFonts w:cs="Arial"/>
        </w:rPr>
        <w:t xml:space="preserve"> and lab handouts, as well as additional resources</w:t>
      </w:r>
      <w:r w:rsidRPr="00F91D8B">
        <w:rPr>
          <w:rFonts w:cs="Arial"/>
        </w:rPr>
        <w:t xml:space="preserve"> as needed.</w:t>
      </w:r>
      <w:r w:rsidR="003C2D6A" w:rsidRPr="00F91D8B">
        <w:rPr>
          <w:rFonts w:cs="Arial"/>
        </w:rPr>
        <w:t xml:space="preserve">  </w:t>
      </w:r>
    </w:p>
    <w:p w14:paraId="35EB648F" w14:textId="008CCF1E" w:rsidR="000C6B05" w:rsidRPr="00F91D8B" w:rsidRDefault="00180802" w:rsidP="00F91D8B">
      <w:pPr>
        <w:pStyle w:val="ListParagraph"/>
        <w:numPr>
          <w:ilvl w:val="1"/>
          <w:numId w:val="9"/>
        </w:numPr>
        <w:spacing w:after="120"/>
        <w:rPr>
          <w:rFonts w:cs="Arial"/>
        </w:rPr>
      </w:pPr>
      <w:r w:rsidRPr="00F91D8B">
        <w:rPr>
          <w:rFonts w:cs="Arial"/>
        </w:rPr>
        <w:t xml:space="preserve">Course textbook:  </w:t>
      </w:r>
      <w:r w:rsidR="000C6B05" w:rsidRPr="00F91D8B">
        <w:rPr>
          <w:rFonts w:cs="Arial"/>
        </w:rPr>
        <w:t xml:space="preserve">Shumway Cook </w:t>
      </w:r>
      <w:proofErr w:type="gramStart"/>
      <w:r w:rsidR="000C6B05" w:rsidRPr="00F91D8B">
        <w:rPr>
          <w:rFonts w:cs="Arial"/>
        </w:rPr>
        <w:t>A</w:t>
      </w:r>
      <w:proofErr w:type="gramEnd"/>
      <w:r w:rsidR="000C6B05" w:rsidRPr="00F91D8B">
        <w:rPr>
          <w:rFonts w:cs="Arial"/>
        </w:rPr>
        <w:t xml:space="preserve"> &amp; </w:t>
      </w:r>
      <w:proofErr w:type="spellStart"/>
      <w:r w:rsidR="000C6B05" w:rsidRPr="00F91D8B">
        <w:rPr>
          <w:rFonts w:cs="Arial"/>
        </w:rPr>
        <w:t>Woollacott</w:t>
      </w:r>
      <w:proofErr w:type="spellEnd"/>
      <w:r w:rsidR="000C6B05" w:rsidRPr="00F91D8B">
        <w:rPr>
          <w:rFonts w:cs="Arial"/>
        </w:rPr>
        <w:t xml:space="preserve"> MH.  2012.  Motor Control: Translating Research into Clinical Practice.</w:t>
      </w:r>
      <w:r w:rsidR="000C6B05" w:rsidRPr="00F91D8B">
        <w:rPr>
          <w:rFonts w:cs="Arial"/>
          <w:i/>
        </w:rPr>
        <w:t xml:space="preserve">  </w:t>
      </w:r>
      <w:r w:rsidR="000C6B05" w:rsidRPr="00F91D8B">
        <w:rPr>
          <w:rFonts w:cs="Arial"/>
        </w:rPr>
        <w:t>4</w:t>
      </w:r>
      <w:r w:rsidR="000C6B05" w:rsidRPr="00F91D8B">
        <w:rPr>
          <w:rFonts w:cs="Arial"/>
          <w:vertAlign w:val="superscript"/>
        </w:rPr>
        <w:t>th</w:t>
      </w:r>
      <w:r w:rsidR="000C6B05" w:rsidRPr="00F91D8B">
        <w:rPr>
          <w:rFonts w:cs="Arial"/>
        </w:rPr>
        <w:t xml:space="preserve"> Edition. Lippincott Williams &amp; Wilkins, PA. </w:t>
      </w:r>
    </w:p>
    <w:p w14:paraId="57224758" w14:textId="77777777" w:rsidR="008707D9" w:rsidRDefault="008707D9" w:rsidP="00F91D8B">
      <w:pPr>
        <w:pStyle w:val="ListParagraph"/>
        <w:spacing w:after="120"/>
        <w:rPr>
          <w:rFonts w:cs="Arial"/>
        </w:rPr>
      </w:pPr>
    </w:p>
    <w:p w14:paraId="085F3F9F" w14:textId="77777777" w:rsidR="008B5EFC" w:rsidRPr="00F91D8B" w:rsidRDefault="008B5EFC" w:rsidP="00F91D8B">
      <w:pPr>
        <w:pStyle w:val="ListParagraph"/>
        <w:spacing w:after="120"/>
        <w:rPr>
          <w:rFonts w:cs="Arial"/>
        </w:rPr>
      </w:pPr>
    </w:p>
    <w:p w14:paraId="1C22ABB0" w14:textId="15EB8BCF" w:rsidR="00D75085" w:rsidRPr="00F91D8B" w:rsidRDefault="0051682E" w:rsidP="00F91D8B">
      <w:pPr>
        <w:spacing w:after="120"/>
        <w:rPr>
          <w:rFonts w:cs="Arial"/>
        </w:rPr>
      </w:pPr>
      <w:r w:rsidRPr="008B5EFC">
        <w:rPr>
          <w:rFonts w:cs="Arial"/>
          <w:u w:val="single"/>
        </w:rPr>
        <w:t>Learning Objectives</w:t>
      </w:r>
      <w:r w:rsidR="008B5EFC">
        <w:rPr>
          <w:rFonts w:cs="Arial"/>
        </w:rPr>
        <w:t>:                                                                                                                                                                         1</w:t>
      </w:r>
      <w:proofErr w:type="gramStart"/>
      <w:r w:rsidR="008B5EFC">
        <w:rPr>
          <w:rFonts w:cs="Arial"/>
        </w:rPr>
        <w:t xml:space="preserve">.  </w:t>
      </w:r>
      <w:r w:rsidR="00832960" w:rsidRPr="00F91D8B">
        <w:rPr>
          <w:rFonts w:cs="Arial"/>
        </w:rPr>
        <w:t>Demonstrate</w:t>
      </w:r>
      <w:proofErr w:type="gramEnd"/>
      <w:r w:rsidR="00832960" w:rsidRPr="00F91D8B">
        <w:rPr>
          <w:rFonts w:cs="Arial"/>
        </w:rPr>
        <w:t xml:space="preserve"> correct neurologic examination/intervention techniques and interpretation.</w:t>
      </w:r>
      <w:r w:rsidR="008B5EFC">
        <w:rPr>
          <w:rFonts w:cs="Arial"/>
        </w:rPr>
        <w:t xml:space="preserve">                                      2.  </w:t>
      </w:r>
      <w:r w:rsidR="00307646" w:rsidRPr="00F91D8B">
        <w:rPr>
          <w:rFonts w:cs="Arial"/>
        </w:rPr>
        <w:t xml:space="preserve">Design </w:t>
      </w:r>
      <w:r w:rsidR="00B87FE7" w:rsidRPr="00F91D8B">
        <w:rPr>
          <w:rFonts w:cs="Arial"/>
        </w:rPr>
        <w:t>a presentation that is tailored to a specific audience commonly encountered by physical therapists (i</w:t>
      </w:r>
      <w:r w:rsidR="00167AFB" w:rsidRPr="00F91D8B">
        <w:rPr>
          <w:rFonts w:cs="Arial"/>
        </w:rPr>
        <w:t>.</w:t>
      </w:r>
      <w:r w:rsidR="00B87FE7" w:rsidRPr="00F91D8B">
        <w:rPr>
          <w:rFonts w:cs="Arial"/>
        </w:rPr>
        <w:t xml:space="preserve">e. patient, </w:t>
      </w:r>
      <w:r w:rsidR="00F20B33" w:rsidRPr="00F91D8B">
        <w:rPr>
          <w:rFonts w:cs="Arial"/>
        </w:rPr>
        <w:t xml:space="preserve">peers/colleagues, </w:t>
      </w:r>
      <w:proofErr w:type="gramStart"/>
      <w:r w:rsidR="00F20B33" w:rsidRPr="00F91D8B">
        <w:rPr>
          <w:rFonts w:cs="Arial"/>
        </w:rPr>
        <w:t>family</w:t>
      </w:r>
      <w:proofErr w:type="gramEnd"/>
      <w:r w:rsidR="00F20B33" w:rsidRPr="00F91D8B">
        <w:rPr>
          <w:rFonts w:cs="Arial"/>
        </w:rPr>
        <w:t>/caregiver</w:t>
      </w:r>
      <w:r w:rsidR="00B87FE7" w:rsidRPr="00F91D8B">
        <w:rPr>
          <w:rFonts w:cs="Arial"/>
        </w:rPr>
        <w:t>).</w:t>
      </w:r>
      <w:r w:rsidR="008B5EFC">
        <w:rPr>
          <w:rFonts w:cs="Arial"/>
        </w:rPr>
        <w:t xml:space="preserve">                                                                                                  3.  </w:t>
      </w:r>
      <w:r w:rsidR="00B87FE7" w:rsidRPr="00F91D8B">
        <w:rPr>
          <w:rFonts w:cs="Arial"/>
        </w:rPr>
        <w:t xml:space="preserve">Demonstrate effective </w:t>
      </w:r>
      <w:r w:rsidR="00D75085" w:rsidRPr="00F91D8B">
        <w:rPr>
          <w:rFonts w:cs="Arial"/>
        </w:rPr>
        <w:t xml:space="preserve">and professional </w:t>
      </w:r>
      <w:r w:rsidR="00B87FE7" w:rsidRPr="00F91D8B">
        <w:rPr>
          <w:rFonts w:cs="Arial"/>
        </w:rPr>
        <w:t>communication skills throughout the presentation, including language that is</w:t>
      </w:r>
      <w:r w:rsidR="00D75085" w:rsidRPr="00F91D8B">
        <w:rPr>
          <w:rFonts w:cs="Arial"/>
        </w:rPr>
        <w:t xml:space="preserve"> appropriate to the</w:t>
      </w:r>
      <w:r w:rsidR="00B87FE7" w:rsidRPr="00F91D8B">
        <w:rPr>
          <w:rFonts w:cs="Arial"/>
        </w:rPr>
        <w:t xml:space="preserve"> given audience.</w:t>
      </w:r>
      <w:r w:rsidR="008B5EFC">
        <w:rPr>
          <w:rFonts w:cs="Arial"/>
        </w:rPr>
        <w:t xml:space="preserve">                                                                                                                      4.  </w:t>
      </w:r>
      <w:r w:rsidR="00307646" w:rsidRPr="00F91D8B">
        <w:rPr>
          <w:rFonts w:cs="Arial"/>
        </w:rPr>
        <w:t>Utilize appropriate techniques to a</w:t>
      </w:r>
      <w:r w:rsidR="00D75085" w:rsidRPr="00F91D8B">
        <w:rPr>
          <w:rFonts w:cs="Arial"/>
        </w:rPr>
        <w:t>ssess the audience’s learning at the conclusion of the session.</w:t>
      </w:r>
    </w:p>
    <w:p w14:paraId="2848A210" w14:textId="68B595AE" w:rsidR="00F4284B" w:rsidRPr="008B5EFC" w:rsidRDefault="008B5EFC" w:rsidP="008B5EFC">
      <w:pPr>
        <w:spacing w:after="120"/>
        <w:rPr>
          <w:rFonts w:cs="Arial"/>
        </w:rPr>
      </w:pPr>
      <w:r>
        <w:rPr>
          <w:rFonts w:cs="Arial"/>
        </w:rPr>
        <w:t xml:space="preserve">For the </w:t>
      </w:r>
      <w:r w:rsidR="0088111A" w:rsidRPr="008B5EFC">
        <w:rPr>
          <w:rFonts w:cs="Arial"/>
          <w:u w:val="single"/>
        </w:rPr>
        <w:t>Applying Neuroanatomy to Neurologic Examination Tests &amp; Measures</w:t>
      </w:r>
      <w:r>
        <w:rPr>
          <w:rFonts w:cs="Arial"/>
        </w:rPr>
        <w:t xml:space="preserve">                                                                1.</w:t>
      </w:r>
      <w:r w:rsidR="00B87FE7" w:rsidRPr="008B5EFC">
        <w:rPr>
          <w:rFonts w:cs="Arial"/>
        </w:rPr>
        <w:t>Use BSF test/measures to correlate examination results (clinical signs and symptoms) to p</w:t>
      </w:r>
      <w:r w:rsidR="009E0830" w:rsidRPr="008B5EFC">
        <w:rPr>
          <w:rFonts w:cs="Arial"/>
        </w:rPr>
        <w:t xml:space="preserve">robable </w:t>
      </w:r>
      <w:r w:rsidR="00B87FE7" w:rsidRPr="008B5EFC">
        <w:rPr>
          <w:rFonts w:cs="Arial"/>
        </w:rPr>
        <w:t xml:space="preserve">neuroanatomic lesions.  </w:t>
      </w:r>
      <w:r>
        <w:rPr>
          <w:rFonts w:cs="Arial"/>
        </w:rPr>
        <w:t xml:space="preserve">                                                                                                                                                                      For the </w:t>
      </w:r>
      <w:r w:rsidR="0088111A" w:rsidRPr="008B5EFC">
        <w:rPr>
          <w:rFonts w:cs="Arial"/>
          <w:u w:val="single"/>
        </w:rPr>
        <w:t>Activity &amp; Strategy Assessment for Patients with Neurologic Disorders</w:t>
      </w:r>
      <w:r>
        <w:rPr>
          <w:rFonts w:cs="Arial"/>
        </w:rPr>
        <w:t xml:space="preserve">                                                                    1.  </w:t>
      </w:r>
      <w:r w:rsidR="00D75085" w:rsidRPr="008B5EFC">
        <w:rPr>
          <w:rFonts w:cs="Arial"/>
        </w:rPr>
        <w:t>Interpret</w:t>
      </w:r>
      <w:r w:rsidR="009E0830" w:rsidRPr="008B5EFC">
        <w:rPr>
          <w:rFonts w:cs="Arial"/>
        </w:rPr>
        <w:t xml:space="preserve"> the results of</w:t>
      </w:r>
      <w:r w:rsidR="00D75085" w:rsidRPr="008B5EFC">
        <w:rPr>
          <w:rFonts w:cs="Arial"/>
        </w:rPr>
        <w:t xml:space="preserve"> a case example</w:t>
      </w:r>
      <w:r w:rsidR="004D739D" w:rsidRPr="008B5EFC">
        <w:rPr>
          <w:rFonts w:cs="Arial"/>
        </w:rPr>
        <w:t>’s</w:t>
      </w:r>
      <w:r w:rsidR="00D75085" w:rsidRPr="008B5EFC">
        <w:rPr>
          <w:rFonts w:cs="Arial"/>
        </w:rPr>
        <w:t xml:space="preserve"> </w:t>
      </w:r>
      <w:r w:rsidR="009E0830" w:rsidRPr="008B5EFC">
        <w:rPr>
          <w:rFonts w:cs="Arial"/>
        </w:rPr>
        <w:t>(</w:t>
      </w:r>
      <w:r w:rsidR="00167AFB" w:rsidRPr="008B5EFC">
        <w:rPr>
          <w:rFonts w:cs="Arial"/>
        </w:rPr>
        <w:t xml:space="preserve">client </w:t>
      </w:r>
      <w:r w:rsidR="00D75085" w:rsidRPr="008B5EFC">
        <w:rPr>
          <w:rFonts w:cs="Arial"/>
        </w:rPr>
        <w:t xml:space="preserve">with </w:t>
      </w:r>
      <w:r w:rsidR="00F20B33" w:rsidRPr="008B5EFC">
        <w:rPr>
          <w:rFonts w:cs="Arial"/>
        </w:rPr>
        <w:t xml:space="preserve">stroke, spinocerebellar degeneration </w:t>
      </w:r>
      <w:r w:rsidR="00832960" w:rsidRPr="008B5EFC">
        <w:rPr>
          <w:rFonts w:cs="Arial"/>
        </w:rPr>
        <w:t>and/</w:t>
      </w:r>
      <w:r w:rsidR="00F20B33" w:rsidRPr="008B5EFC">
        <w:rPr>
          <w:rFonts w:cs="Arial"/>
        </w:rPr>
        <w:t xml:space="preserve">or </w:t>
      </w:r>
      <w:proofErr w:type="gramStart"/>
      <w:r w:rsidR="00F20B33" w:rsidRPr="008B5EFC">
        <w:rPr>
          <w:rFonts w:cs="Arial"/>
        </w:rPr>
        <w:t>Parkinson’s Disease</w:t>
      </w:r>
      <w:proofErr w:type="gramEnd"/>
      <w:r w:rsidR="009E0830" w:rsidRPr="008B5EFC">
        <w:rPr>
          <w:rFonts w:cs="Arial"/>
        </w:rPr>
        <w:t>)</w:t>
      </w:r>
      <w:r w:rsidR="00D75085" w:rsidRPr="008B5EFC">
        <w:rPr>
          <w:rFonts w:cs="Arial"/>
        </w:rPr>
        <w:t xml:space="preserve"> performance on the test/measure.</w:t>
      </w:r>
    </w:p>
    <w:p w14:paraId="5462D84E" w14:textId="77777777" w:rsidR="00B210FA" w:rsidRPr="00F91D8B" w:rsidRDefault="00B210FA" w:rsidP="00F91D8B">
      <w:pPr>
        <w:pStyle w:val="ListParagraph"/>
        <w:spacing w:after="120"/>
        <w:ind w:left="360"/>
        <w:rPr>
          <w:rFonts w:cs="Arial"/>
        </w:rPr>
      </w:pPr>
    </w:p>
    <w:p w14:paraId="057E1A1B" w14:textId="193C298D" w:rsidR="0051682E" w:rsidRPr="008B5EFC" w:rsidRDefault="0051682E" w:rsidP="00F91D8B">
      <w:pPr>
        <w:spacing w:after="120"/>
        <w:rPr>
          <w:rFonts w:cs="Arial"/>
          <w:u w:val="single"/>
        </w:rPr>
      </w:pPr>
      <w:r w:rsidRPr="008B5EFC">
        <w:rPr>
          <w:rFonts w:cs="Arial"/>
          <w:u w:val="single"/>
        </w:rPr>
        <w:t>Methods of evaluation of student learning</w:t>
      </w:r>
      <w:r w:rsidR="000B0734" w:rsidRPr="008B5EFC">
        <w:rPr>
          <w:rFonts w:cs="Arial"/>
          <w:u w:val="single"/>
        </w:rPr>
        <w:t xml:space="preserve">: </w:t>
      </w:r>
    </w:p>
    <w:p w14:paraId="18149F89" w14:textId="3FB4E345" w:rsidR="00F3385D" w:rsidRPr="00F91D8B" w:rsidRDefault="0069634D" w:rsidP="00F91D8B">
      <w:pPr>
        <w:pStyle w:val="ListParagraph"/>
        <w:numPr>
          <w:ilvl w:val="0"/>
          <w:numId w:val="10"/>
        </w:numPr>
        <w:spacing w:after="120"/>
        <w:rPr>
          <w:rFonts w:cs="Arial"/>
        </w:rPr>
      </w:pPr>
      <w:r w:rsidRPr="00F91D8B">
        <w:rPr>
          <w:rFonts w:cs="Arial"/>
        </w:rPr>
        <w:t>Students are graded by instructors using the rubric included below</w:t>
      </w:r>
      <w:r w:rsidR="00F3385D" w:rsidRPr="00F91D8B">
        <w:rPr>
          <w:rFonts w:cs="Arial"/>
        </w:rPr>
        <w:t>.</w:t>
      </w:r>
    </w:p>
    <w:p w14:paraId="39CCDD14" w14:textId="3CD4ECB1" w:rsidR="0069634D" w:rsidRPr="00F91D8B" w:rsidRDefault="0069634D" w:rsidP="00F91D8B">
      <w:pPr>
        <w:pStyle w:val="ListParagraph"/>
        <w:numPr>
          <w:ilvl w:val="0"/>
          <w:numId w:val="10"/>
        </w:numPr>
        <w:spacing w:after="120"/>
        <w:rPr>
          <w:rFonts w:cs="Arial"/>
        </w:rPr>
      </w:pPr>
      <w:r w:rsidRPr="00F91D8B">
        <w:rPr>
          <w:rFonts w:cs="Arial"/>
        </w:rPr>
        <w:t xml:space="preserve">In addition, students participate in </w:t>
      </w:r>
      <w:r w:rsidR="00167AFB" w:rsidRPr="00F91D8B">
        <w:rPr>
          <w:rFonts w:cs="Arial"/>
        </w:rPr>
        <w:t xml:space="preserve">a </w:t>
      </w:r>
      <w:r w:rsidR="00246421" w:rsidRPr="00F91D8B">
        <w:rPr>
          <w:rFonts w:cs="Arial"/>
        </w:rPr>
        <w:t xml:space="preserve">peer review process.  </w:t>
      </w:r>
      <w:r w:rsidRPr="00F91D8B">
        <w:rPr>
          <w:rFonts w:cs="Arial"/>
        </w:rPr>
        <w:t xml:space="preserve">Each student is assigned to provide feedback to 3 student </w:t>
      </w:r>
      <w:r w:rsidR="00246421" w:rsidRPr="00F91D8B">
        <w:rPr>
          <w:rFonts w:cs="Arial"/>
        </w:rPr>
        <w:t xml:space="preserve">pairs.  </w:t>
      </w:r>
      <w:r w:rsidRPr="00F91D8B">
        <w:rPr>
          <w:rFonts w:cs="Arial"/>
        </w:rPr>
        <w:t>Feedback must include aspects that were strengths in the presentation, as well as a</w:t>
      </w:r>
      <w:r w:rsidR="00246421" w:rsidRPr="00F91D8B">
        <w:rPr>
          <w:rFonts w:cs="Arial"/>
        </w:rPr>
        <w:t xml:space="preserve">reas for constructive feedback.  </w:t>
      </w:r>
      <w:r w:rsidRPr="00F91D8B">
        <w:rPr>
          <w:rFonts w:cs="Arial"/>
        </w:rPr>
        <w:t>See below.</w:t>
      </w:r>
    </w:p>
    <w:p w14:paraId="3AAB894C" w14:textId="71E4CEE1" w:rsidR="00B210FA" w:rsidRPr="00F91D8B" w:rsidRDefault="00B210FA" w:rsidP="00F91D8B">
      <w:pPr>
        <w:spacing w:after="160"/>
        <w:rPr>
          <w:u w:val="single"/>
        </w:rPr>
      </w:pPr>
      <w:r w:rsidRPr="00F91D8B">
        <w:rPr>
          <w:u w:val="single"/>
        </w:rPr>
        <w:br w:type="page"/>
      </w:r>
    </w:p>
    <w:p w14:paraId="524175FF" w14:textId="77777777" w:rsidR="00103B96" w:rsidRPr="00F91D8B" w:rsidRDefault="00103B96" w:rsidP="00F91D8B">
      <w:pPr>
        <w:rPr>
          <w:u w:val="single"/>
        </w:rPr>
        <w:sectPr w:rsidR="00103B96" w:rsidRPr="00F91D8B" w:rsidSect="00103B96">
          <w:headerReference w:type="default" r:id="rId12"/>
          <w:footerReference w:type="default" r:id="rId13"/>
          <w:pgSz w:w="12240" w:h="15840"/>
          <w:pgMar w:top="1440" w:right="1440" w:bottom="1440" w:left="1440" w:header="720" w:footer="720" w:gutter="0"/>
          <w:cols w:space="720"/>
          <w:docGrid w:linePitch="360"/>
        </w:sectPr>
      </w:pPr>
    </w:p>
    <w:p w14:paraId="0D3578EE" w14:textId="1BD4EAD4" w:rsidR="00832960" w:rsidRPr="00F91D8B" w:rsidRDefault="00832960" w:rsidP="00F91D8B">
      <w:pPr>
        <w:spacing w:after="0"/>
        <w:rPr>
          <w:rFonts w:cs="Arial"/>
          <w:b/>
          <w:u w:val="single"/>
        </w:rPr>
      </w:pPr>
      <w:r w:rsidRPr="00F91D8B">
        <w:rPr>
          <w:rFonts w:cs="Arial"/>
          <w:b/>
          <w:u w:val="single"/>
        </w:rPr>
        <w:lastRenderedPageBreak/>
        <w:t xml:space="preserve">INSTRUCTOR GRADING RUBRIC EXAMPLE  </w:t>
      </w:r>
    </w:p>
    <w:p w14:paraId="576CFFAD" w14:textId="77777777" w:rsidR="00832960" w:rsidRPr="00F91D8B" w:rsidRDefault="00832960" w:rsidP="00F91D8B">
      <w:pPr>
        <w:spacing w:after="0"/>
        <w:jc w:val="center"/>
        <w:rPr>
          <w:rFonts w:cs="Arial"/>
          <w:b/>
        </w:rPr>
      </w:pPr>
      <w:r w:rsidRPr="00F91D8B">
        <w:rPr>
          <w:rFonts w:cs="Arial"/>
          <w:b/>
        </w:rPr>
        <w:t>Student Teaching Lab Grading Rubric</w:t>
      </w:r>
    </w:p>
    <w:p w14:paraId="0B99790D" w14:textId="77777777" w:rsidR="00832960" w:rsidRPr="00F91D8B" w:rsidRDefault="00832960" w:rsidP="00F91D8B">
      <w:pPr>
        <w:spacing w:after="0"/>
        <w:jc w:val="center"/>
        <w:rPr>
          <w:rFonts w:cs="Arial"/>
          <w:b/>
        </w:rPr>
      </w:pPr>
      <w:r w:rsidRPr="00F91D8B">
        <w:rPr>
          <w:rFonts w:cs="Arial"/>
          <w:b/>
        </w:rPr>
        <w:t>[Sample for Neurologic Examination Tests and Measures/Neuroanatomy Teaching Lab]</w:t>
      </w:r>
    </w:p>
    <w:p w14:paraId="19C59C1A" w14:textId="77777777" w:rsidR="00832960" w:rsidRPr="00F91D8B" w:rsidRDefault="00832960" w:rsidP="00F91D8B">
      <w:pPr>
        <w:spacing w:after="0"/>
        <w:ind w:left="360"/>
        <w:rPr>
          <w:rFonts w:cs="Arial"/>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1419"/>
        <w:gridCol w:w="1622"/>
        <w:gridCol w:w="1358"/>
        <w:gridCol w:w="3492"/>
      </w:tblGrid>
      <w:tr w:rsidR="00832960" w:rsidRPr="00F91D8B" w14:paraId="7A9776D9" w14:textId="77777777" w:rsidTr="00A00147">
        <w:tc>
          <w:tcPr>
            <w:tcW w:w="4878" w:type="dxa"/>
            <w:shd w:val="clear" w:color="auto" w:fill="auto"/>
          </w:tcPr>
          <w:p w14:paraId="4D0243A6" w14:textId="77777777" w:rsidR="00832960" w:rsidRPr="00F91D8B" w:rsidRDefault="00832960" w:rsidP="00F91D8B">
            <w:pPr>
              <w:spacing w:after="0"/>
              <w:rPr>
                <w:rFonts w:cs="Arial"/>
              </w:rPr>
            </w:pPr>
          </w:p>
        </w:tc>
        <w:tc>
          <w:tcPr>
            <w:tcW w:w="1318" w:type="dxa"/>
            <w:shd w:val="clear" w:color="auto" w:fill="auto"/>
          </w:tcPr>
          <w:p w14:paraId="6AEA059A" w14:textId="77777777" w:rsidR="00832960" w:rsidRPr="00F91D8B" w:rsidRDefault="00832960" w:rsidP="00F91D8B">
            <w:pPr>
              <w:spacing w:after="0"/>
              <w:jc w:val="center"/>
              <w:rPr>
                <w:rFonts w:cs="Arial"/>
              </w:rPr>
            </w:pPr>
            <w:r w:rsidRPr="00F91D8B">
              <w:rPr>
                <w:rFonts w:cs="Arial"/>
              </w:rPr>
              <w:t>Not done/</w:t>
            </w:r>
          </w:p>
          <w:p w14:paraId="2EE5DE08" w14:textId="77777777" w:rsidR="00832960" w:rsidRPr="00F91D8B" w:rsidRDefault="00832960" w:rsidP="00F91D8B">
            <w:pPr>
              <w:spacing w:after="0"/>
              <w:jc w:val="center"/>
              <w:rPr>
                <w:rFonts w:cs="Arial"/>
              </w:rPr>
            </w:pPr>
            <w:r w:rsidRPr="00F91D8B">
              <w:rPr>
                <w:rFonts w:cs="Arial"/>
              </w:rPr>
              <w:t>unacceptable</w:t>
            </w:r>
          </w:p>
          <w:p w14:paraId="4383A0C3" w14:textId="77777777" w:rsidR="00832960" w:rsidRPr="00F91D8B" w:rsidRDefault="00832960" w:rsidP="00F91D8B">
            <w:pPr>
              <w:spacing w:after="0"/>
              <w:jc w:val="center"/>
              <w:rPr>
                <w:rFonts w:cs="Arial"/>
              </w:rPr>
            </w:pPr>
          </w:p>
          <w:p w14:paraId="2BBB3A19" w14:textId="77777777" w:rsidR="00832960" w:rsidRPr="00F91D8B" w:rsidRDefault="00832960" w:rsidP="00F91D8B">
            <w:pPr>
              <w:spacing w:after="0"/>
              <w:jc w:val="center"/>
              <w:rPr>
                <w:rFonts w:cs="Arial"/>
              </w:rPr>
            </w:pPr>
            <w:r w:rsidRPr="00F91D8B">
              <w:rPr>
                <w:rFonts w:cs="Arial"/>
              </w:rPr>
              <w:t>(0)</w:t>
            </w:r>
          </w:p>
        </w:tc>
        <w:tc>
          <w:tcPr>
            <w:tcW w:w="1630" w:type="dxa"/>
            <w:shd w:val="clear" w:color="auto" w:fill="auto"/>
          </w:tcPr>
          <w:p w14:paraId="48B0A214" w14:textId="77777777" w:rsidR="00832960" w:rsidRPr="00F91D8B" w:rsidRDefault="00832960" w:rsidP="00F91D8B">
            <w:pPr>
              <w:spacing w:after="0"/>
              <w:jc w:val="center"/>
              <w:rPr>
                <w:rFonts w:cs="Arial"/>
              </w:rPr>
            </w:pPr>
            <w:r w:rsidRPr="00F91D8B">
              <w:rPr>
                <w:rFonts w:cs="Arial"/>
              </w:rPr>
              <w:t>Needs improvement;</w:t>
            </w:r>
          </w:p>
          <w:p w14:paraId="3B46C0AB" w14:textId="77777777" w:rsidR="00832960" w:rsidRPr="00F91D8B" w:rsidRDefault="00832960" w:rsidP="00F91D8B">
            <w:pPr>
              <w:spacing w:after="0"/>
              <w:jc w:val="center"/>
              <w:rPr>
                <w:rFonts w:cs="Arial"/>
              </w:rPr>
            </w:pPr>
            <w:r w:rsidRPr="00F91D8B">
              <w:rPr>
                <w:rFonts w:cs="Arial"/>
              </w:rPr>
              <w:t>not clear</w:t>
            </w:r>
          </w:p>
          <w:p w14:paraId="245A2D13" w14:textId="77777777" w:rsidR="00832960" w:rsidRPr="00F91D8B" w:rsidRDefault="00832960" w:rsidP="00F91D8B">
            <w:pPr>
              <w:spacing w:after="0"/>
              <w:jc w:val="center"/>
              <w:rPr>
                <w:rFonts w:cs="Arial"/>
              </w:rPr>
            </w:pPr>
            <w:r w:rsidRPr="00F91D8B">
              <w:rPr>
                <w:rFonts w:cs="Arial"/>
              </w:rPr>
              <w:t>(1)</w:t>
            </w:r>
          </w:p>
        </w:tc>
        <w:tc>
          <w:tcPr>
            <w:tcW w:w="1358" w:type="dxa"/>
            <w:shd w:val="clear" w:color="auto" w:fill="auto"/>
          </w:tcPr>
          <w:p w14:paraId="327FFA49" w14:textId="77777777" w:rsidR="00832960" w:rsidRPr="00F91D8B" w:rsidRDefault="00832960" w:rsidP="00F91D8B">
            <w:pPr>
              <w:spacing w:after="0"/>
              <w:jc w:val="center"/>
              <w:rPr>
                <w:rFonts w:cs="Arial"/>
              </w:rPr>
            </w:pPr>
            <w:r w:rsidRPr="00F91D8B">
              <w:rPr>
                <w:rFonts w:cs="Arial"/>
              </w:rPr>
              <w:t>Meets Expectations</w:t>
            </w:r>
          </w:p>
          <w:p w14:paraId="72B187D3" w14:textId="77777777" w:rsidR="00832960" w:rsidRPr="00F91D8B" w:rsidRDefault="00832960" w:rsidP="00F91D8B">
            <w:pPr>
              <w:spacing w:after="0"/>
              <w:jc w:val="center"/>
              <w:rPr>
                <w:rFonts w:cs="Arial"/>
              </w:rPr>
            </w:pPr>
          </w:p>
          <w:p w14:paraId="1FB4AA88" w14:textId="77777777" w:rsidR="00832960" w:rsidRPr="00F91D8B" w:rsidRDefault="00832960" w:rsidP="00F91D8B">
            <w:pPr>
              <w:spacing w:after="0"/>
              <w:jc w:val="center"/>
              <w:rPr>
                <w:rFonts w:cs="Arial"/>
              </w:rPr>
            </w:pPr>
            <w:r w:rsidRPr="00F91D8B">
              <w:rPr>
                <w:rFonts w:cs="Arial"/>
              </w:rPr>
              <w:t>(2)</w:t>
            </w:r>
          </w:p>
        </w:tc>
        <w:tc>
          <w:tcPr>
            <w:tcW w:w="3632" w:type="dxa"/>
            <w:shd w:val="clear" w:color="auto" w:fill="auto"/>
          </w:tcPr>
          <w:p w14:paraId="70FEE710" w14:textId="77777777" w:rsidR="00832960" w:rsidRPr="00F91D8B" w:rsidRDefault="00832960" w:rsidP="00F91D8B">
            <w:pPr>
              <w:spacing w:after="0"/>
              <w:rPr>
                <w:rFonts w:cs="Arial"/>
              </w:rPr>
            </w:pPr>
          </w:p>
          <w:p w14:paraId="7DF351D6" w14:textId="77777777" w:rsidR="00832960" w:rsidRPr="00F91D8B" w:rsidRDefault="00832960" w:rsidP="00F91D8B">
            <w:pPr>
              <w:spacing w:after="0"/>
              <w:rPr>
                <w:rFonts w:cs="Arial"/>
              </w:rPr>
            </w:pPr>
            <w:r w:rsidRPr="00F91D8B">
              <w:rPr>
                <w:rFonts w:cs="Arial"/>
              </w:rPr>
              <w:t>Comments</w:t>
            </w:r>
          </w:p>
        </w:tc>
      </w:tr>
      <w:tr w:rsidR="00832960" w:rsidRPr="00F91D8B" w14:paraId="7C68549F" w14:textId="77777777" w:rsidTr="00A00147">
        <w:tc>
          <w:tcPr>
            <w:tcW w:w="4878" w:type="dxa"/>
            <w:shd w:val="clear" w:color="auto" w:fill="auto"/>
          </w:tcPr>
          <w:p w14:paraId="1FB769A1" w14:textId="77777777" w:rsidR="00832960" w:rsidRPr="00F91D8B" w:rsidRDefault="00832960" w:rsidP="00F91D8B">
            <w:pPr>
              <w:spacing w:after="0"/>
              <w:rPr>
                <w:rFonts w:cs="Arial"/>
              </w:rPr>
            </w:pPr>
            <w:r w:rsidRPr="00F91D8B">
              <w:rPr>
                <w:rFonts w:cs="Arial"/>
              </w:rPr>
              <w:t xml:space="preserve">Engagement of the audience </w:t>
            </w:r>
          </w:p>
          <w:p w14:paraId="5A5C16A2" w14:textId="77777777" w:rsidR="00832960" w:rsidRPr="00F91D8B" w:rsidRDefault="00832960" w:rsidP="00F91D8B">
            <w:pPr>
              <w:spacing w:after="0"/>
              <w:rPr>
                <w:rFonts w:cs="Arial"/>
              </w:rPr>
            </w:pPr>
            <w:r w:rsidRPr="00F91D8B">
              <w:rPr>
                <w:rFonts w:cs="Arial"/>
              </w:rPr>
              <w:t xml:space="preserve">(including use of hook as appropriate) </w:t>
            </w:r>
          </w:p>
        </w:tc>
        <w:tc>
          <w:tcPr>
            <w:tcW w:w="1318" w:type="dxa"/>
            <w:shd w:val="clear" w:color="auto" w:fill="auto"/>
          </w:tcPr>
          <w:p w14:paraId="19DD3A31" w14:textId="77777777" w:rsidR="00832960" w:rsidRPr="00F91D8B" w:rsidRDefault="00832960" w:rsidP="00F91D8B">
            <w:pPr>
              <w:spacing w:after="0"/>
              <w:jc w:val="center"/>
              <w:rPr>
                <w:rFonts w:cs="Arial"/>
              </w:rPr>
            </w:pPr>
          </w:p>
        </w:tc>
        <w:tc>
          <w:tcPr>
            <w:tcW w:w="1630" w:type="dxa"/>
            <w:shd w:val="clear" w:color="auto" w:fill="auto"/>
          </w:tcPr>
          <w:p w14:paraId="570E2E82" w14:textId="77777777" w:rsidR="00832960" w:rsidRPr="00F91D8B" w:rsidRDefault="00832960" w:rsidP="00F91D8B">
            <w:pPr>
              <w:spacing w:after="0"/>
              <w:jc w:val="center"/>
              <w:rPr>
                <w:rFonts w:cs="Arial"/>
              </w:rPr>
            </w:pPr>
          </w:p>
        </w:tc>
        <w:tc>
          <w:tcPr>
            <w:tcW w:w="1358" w:type="dxa"/>
            <w:shd w:val="clear" w:color="auto" w:fill="auto"/>
          </w:tcPr>
          <w:p w14:paraId="561B20B8" w14:textId="77777777" w:rsidR="00832960" w:rsidRPr="00F91D8B" w:rsidRDefault="00832960" w:rsidP="00F91D8B">
            <w:pPr>
              <w:spacing w:after="0"/>
              <w:jc w:val="center"/>
              <w:rPr>
                <w:rFonts w:cs="Arial"/>
              </w:rPr>
            </w:pPr>
          </w:p>
        </w:tc>
        <w:tc>
          <w:tcPr>
            <w:tcW w:w="3632" w:type="dxa"/>
            <w:shd w:val="clear" w:color="auto" w:fill="auto"/>
          </w:tcPr>
          <w:p w14:paraId="69C31778" w14:textId="77777777" w:rsidR="00832960" w:rsidRPr="00F91D8B" w:rsidRDefault="00832960" w:rsidP="00F91D8B">
            <w:pPr>
              <w:spacing w:after="0"/>
              <w:rPr>
                <w:rFonts w:cs="Arial"/>
              </w:rPr>
            </w:pPr>
          </w:p>
        </w:tc>
      </w:tr>
      <w:tr w:rsidR="00832960" w:rsidRPr="00F91D8B" w14:paraId="55CC6C0F" w14:textId="77777777" w:rsidTr="00A00147">
        <w:tc>
          <w:tcPr>
            <w:tcW w:w="4878" w:type="dxa"/>
            <w:shd w:val="clear" w:color="auto" w:fill="auto"/>
          </w:tcPr>
          <w:p w14:paraId="49834588" w14:textId="77777777" w:rsidR="00832960" w:rsidRPr="00F91D8B" w:rsidRDefault="00832960" w:rsidP="00F91D8B">
            <w:pPr>
              <w:spacing w:after="0"/>
              <w:rPr>
                <w:rFonts w:cs="Arial"/>
              </w:rPr>
            </w:pPr>
            <w:r w:rsidRPr="00F91D8B">
              <w:rPr>
                <w:rFonts w:cs="Arial"/>
              </w:rPr>
              <w:t xml:space="preserve">Maintenance of the safety of the patient, therapist and fellow students </w:t>
            </w:r>
          </w:p>
        </w:tc>
        <w:tc>
          <w:tcPr>
            <w:tcW w:w="1318" w:type="dxa"/>
            <w:shd w:val="clear" w:color="auto" w:fill="auto"/>
          </w:tcPr>
          <w:p w14:paraId="4C0F504A" w14:textId="77777777" w:rsidR="00832960" w:rsidRPr="00F91D8B" w:rsidRDefault="00832960" w:rsidP="00F91D8B">
            <w:pPr>
              <w:spacing w:after="0"/>
              <w:jc w:val="center"/>
              <w:rPr>
                <w:rFonts w:cs="Arial"/>
              </w:rPr>
            </w:pPr>
          </w:p>
        </w:tc>
        <w:tc>
          <w:tcPr>
            <w:tcW w:w="1630" w:type="dxa"/>
            <w:shd w:val="clear" w:color="auto" w:fill="auto"/>
          </w:tcPr>
          <w:p w14:paraId="02881794" w14:textId="77777777" w:rsidR="00832960" w:rsidRPr="00F91D8B" w:rsidRDefault="00832960" w:rsidP="00F91D8B">
            <w:pPr>
              <w:spacing w:after="0"/>
              <w:jc w:val="center"/>
              <w:rPr>
                <w:rFonts w:cs="Arial"/>
              </w:rPr>
            </w:pPr>
          </w:p>
        </w:tc>
        <w:tc>
          <w:tcPr>
            <w:tcW w:w="1358" w:type="dxa"/>
            <w:shd w:val="clear" w:color="auto" w:fill="auto"/>
          </w:tcPr>
          <w:p w14:paraId="39FD436F" w14:textId="77777777" w:rsidR="00832960" w:rsidRPr="00F91D8B" w:rsidRDefault="00832960" w:rsidP="00F91D8B">
            <w:pPr>
              <w:spacing w:after="0"/>
              <w:jc w:val="center"/>
              <w:rPr>
                <w:rFonts w:cs="Arial"/>
              </w:rPr>
            </w:pPr>
          </w:p>
        </w:tc>
        <w:tc>
          <w:tcPr>
            <w:tcW w:w="3632" w:type="dxa"/>
            <w:shd w:val="clear" w:color="auto" w:fill="auto"/>
          </w:tcPr>
          <w:p w14:paraId="4410DBC8" w14:textId="77777777" w:rsidR="00832960" w:rsidRPr="00F91D8B" w:rsidRDefault="00832960" w:rsidP="00F91D8B">
            <w:pPr>
              <w:spacing w:after="0"/>
              <w:rPr>
                <w:rFonts w:cs="Arial"/>
              </w:rPr>
            </w:pPr>
          </w:p>
        </w:tc>
      </w:tr>
      <w:tr w:rsidR="00832960" w:rsidRPr="00F91D8B" w14:paraId="4168936D" w14:textId="77777777" w:rsidTr="00A00147">
        <w:tc>
          <w:tcPr>
            <w:tcW w:w="4878" w:type="dxa"/>
            <w:shd w:val="clear" w:color="auto" w:fill="auto"/>
          </w:tcPr>
          <w:p w14:paraId="1E5A6493" w14:textId="77777777" w:rsidR="00832960" w:rsidRPr="00F91D8B" w:rsidRDefault="00832960" w:rsidP="00F91D8B">
            <w:pPr>
              <w:spacing w:after="0"/>
              <w:rPr>
                <w:rFonts w:cs="Arial"/>
              </w:rPr>
            </w:pPr>
            <w:r w:rsidRPr="00F91D8B">
              <w:rPr>
                <w:rFonts w:cs="Arial"/>
              </w:rPr>
              <w:t>Brief overview of test/measure</w:t>
            </w:r>
          </w:p>
        </w:tc>
        <w:tc>
          <w:tcPr>
            <w:tcW w:w="1318" w:type="dxa"/>
            <w:shd w:val="clear" w:color="auto" w:fill="auto"/>
          </w:tcPr>
          <w:p w14:paraId="0CD12F2D" w14:textId="77777777" w:rsidR="00832960" w:rsidRPr="00F91D8B" w:rsidRDefault="00832960" w:rsidP="00F91D8B">
            <w:pPr>
              <w:spacing w:after="0"/>
              <w:jc w:val="center"/>
              <w:rPr>
                <w:rFonts w:cs="Arial"/>
              </w:rPr>
            </w:pPr>
          </w:p>
        </w:tc>
        <w:tc>
          <w:tcPr>
            <w:tcW w:w="1630" w:type="dxa"/>
            <w:shd w:val="clear" w:color="auto" w:fill="auto"/>
          </w:tcPr>
          <w:p w14:paraId="500B87AC" w14:textId="77777777" w:rsidR="00832960" w:rsidRPr="00F91D8B" w:rsidRDefault="00832960" w:rsidP="00F91D8B">
            <w:pPr>
              <w:spacing w:after="0"/>
              <w:jc w:val="center"/>
              <w:rPr>
                <w:rFonts w:cs="Arial"/>
              </w:rPr>
            </w:pPr>
          </w:p>
        </w:tc>
        <w:tc>
          <w:tcPr>
            <w:tcW w:w="1358" w:type="dxa"/>
            <w:shd w:val="clear" w:color="auto" w:fill="auto"/>
          </w:tcPr>
          <w:p w14:paraId="65609F68" w14:textId="77777777" w:rsidR="00832960" w:rsidRPr="00F91D8B" w:rsidRDefault="00832960" w:rsidP="00F91D8B">
            <w:pPr>
              <w:spacing w:after="0"/>
              <w:jc w:val="center"/>
              <w:rPr>
                <w:rFonts w:cs="Arial"/>
              </w:rPr>
            </w:pPr>
          </w:p>
        </w:tc>
        <w:tc>
          <w:tcPr>
            <w:tcW w:w="3632" w:type="dxa"/>
            <w:shd w:val="clear" w:color="auto" w:fill="auto"/>
          </w:tcPr>
          <w:p w14:paraId="46D05563" w14:textId="77777777" w:rsidR="00832960" w:rsidRPr="00F91D8B" w:rsidRDefault="00832960" w:rsidP="00F91D8B">
            <w:pPr>
              <w:spacing w:after="0"/>
              <w:rPr>
                <w:rFonts w:cs="Arial"/>
              </w:rPr>
            </w:pPr>
          </w:p>
        </w:tc>
      </w:tr>
      <w:tr w:rsidR="00832960" w:rsidRPr="00F91D8B" w14:paraId="3B8CD1C5" w14:textId="77777777" w:rsidTr="00A00147">
        <w:tc>
          <w:tcPr>
            <w:tcW w:w="4878" w:type="dxa"/>
            <w:shd w:val="clear" w:color="auto" w:fill="auto"/>
          </w:tcPr>
          <w:p w14:paraId="63EC9BFB" w14:textId="77777777" w:rsidR="00832960" w:rsidRPr="00F91D8B" w:rsidRDefault="00832960" w:rsidP="00F91D8B">
            <w:pPr>
              <w:spacing w:after="0"/>
              <w:rPr>
                <w:rFonts w:cs="Arial"/>
              </w:rPr>
            </w:pPr>
            <w:r w:rsidRPr="00F91D8B">
              <w:rPr>
                <w:rFonts w:cs="Arial"/>
              </w:rPr>
              <w:t xml:space="preserve">Description of procedure to an audience of colleagues (DPT students) </w:t>
            </w:r>
          </w:p>
        </w:tc>
        <w:tc>
          <w:tcPr>
            <w:tcW w:w="1318" w:type="dxa"/>
            <w:shd w:val="clear" w:color="auto" w:fill="auto"/>
          </w:tcPr>
          <w:p w14:paraId="0728CECB" w14:textId="77777777" w:rsidR="00832960" w:rsidRPr="00F91D8B" w:rsidRDefault="00832960" w:rsidP="00F91D8B">
            <w:pPr>
              <w:spacing w:after="0"/>
              <w:jc w:val="center"/>
              <w:rPr>
                <w:rFonts w:cs="Arial"/>
              </w:rPr>
            </w:pPr>
          </w:p>
        </w:tc>
        <w:tc>
          <w:tcPr>
            <w:tcW w:w="1630" w:type="dxa"/>
            <w:shd w:val="clear" w:color="auto" w:fill="auto"/>
          </w:tcPr>
          <w:p w14:paraId="4391F6B8" w14:textId="77777777" w:rsidR="00832960" w:rsidRPr="00F91D8B" w:rsidRDefault="00832960" w:rsidP="00F91D8B">
            <w:pPr>
              <w:spacing w:after="0"/>
              <w:jc w:val="center"/>
              <w:rPr>
                <w:rFonts w:cs="Arial"/>
              </w:rPr>
            </w:pPr>
          </w:p>
        </w:tc>
        <w:tc>
          <w:tcPr>
            <w:tcW w:w="1358" w:type="dxa"/>
            <w:shd w:val="clear" w:color="auto" w:fill="auto"/>
          </w:tcPr>
          <w:p w14:paraId="51B2DACB" w14:textId="77777777" w:rsidR="00832960" w:rsidRPr="00F91D8B" w:rsidRDefault="00832960" w:rsidP="00F91D8B">
            <w:pPr>
              <w:spacing w:after="0"/>
              <w:jc w:val="center"/>
              <w:rPr>
                <w:rFonts w:cs="Arial"/>
              </w:rPr>
            </w:pPr>
          </w:p>
        </w:tc>
        <w:tc>
          <w:tcPr>
            <w:tcW w:w="3632" w:type="dxa"/>
            <w:shd w:val="clear" w:color="auto" w:fill="auto"/>
          </w:tcPr>
          <w:p w14:paraId="55807171" w14:textId="77777777" w:rsidR="00832960" w:rsidRPr="00F91D8B" w:rsidRDefault="00832960" w:rsidP="00F91D8B">
            <w:pPr>
              <w:spacing w:after="0"/>
              <w:rPr>
                <w:rFonts w:cs="Arial"/>
              </w:rPr>
            </w:pPr>
          </w:p>
        </w:tc>
      </w:tr>
      <w:tr w:rsidR="00832960" w:rsidRPr="00F91D8B" w14:paraId="485BE304" w14:textId="77777777" w:rsidTr="00A00147">
        <w:tc>
          <w:tcPr>
            <w:tcW w:w="4878" w:type="dxa"/>
            <w:shd w:val="clear" w:color="auto" w:fill="auto"/>
          </w:tcPr>
          <w:p w14:paraId="2458449D" w14:textId="77777777" w:rsidR="00832960" w:rsidRPr="00F91D8B" w:rsidRDefault="00832960" w:rsidP="00F91D8B">
            <w:pPr>
              <w:spacing w:after="0"/>
              <w:rPr>
                <w:rFonts w:cs="Arial"/>
              </w:rPr>
            </w:pPr>
            <w:r w:rsidRPr="00F91D8B">
              <w:rPr>
                <w:rFonts w:cs="Arial"/>
              </w:rPr>
              <w:t>Demonstration of correct examination technique(s) on simulated patient  (including body mechanics)</w:t>
            </w:r>
          </w:p>
        </w:tc>
        <w:tc>
          <w:tcPr>
            <w:tcW w:w="1318" w:type="dxa"/>
            <w:shd w:val="clear" w:color="auto" w:fill="auto"/>
          </w:tcPr>
          <w:p w14:paraId="694D10E7" w14:textId="77777777" w:rsidR="00832960" w:rsidRPr="00F91D8B" w:rsidRDefault="00832960" w:rsidP="00F91D8B">
            <w:pPr>
              <w:spacing w:after="0"/>
              <w:jc w:val="center"/>
              <w:rPr>
                <w:rFonts w:cs="Arial"/>
              </w:rPr>
            </w:pPr>
          </w:p>
        </w:tc>
        <w:tc>
          <w:tcPr>
            <w:tcW w:w="1630" w:type="dxa"/>
            <w:shd w:val="clear" w:color="auto" w:fill="auto"/>
          </w:tcPr>
          <w:p w14:paraId="4C8E4DE7" w14:textId="77777777" w:rsidR="00832960" w:rsidRPr="00F91D8B" w:rsidRDefault="00832960" w:rsidP="00F91D8B">
            <w:pPr>
              <w:spacing w:after="0"/>
              <w:jc w:val="center"/>
              <w:rPr>
                <w:rFonts w:cs="Arial"/>
              </w:rPr>
            </w:pPr>
          </w:p>
        </w:tc>
        <w:tc>
          <w:tcPr>
            <w:tcW w:w="1358" w:type="dxa"/>
            <w:shd w:val="clear" w:color="auto" w:fill="auto"/>
          </w:tcPr>
          <w:p w14:paraId="0A4F648C" w14:textId="77777777" w:rsidR="00832960" w:rsidRPr="00F91D8B" w:rsidRDefault="00832960" w:rsidP="00F91D8B">
            <w:pPr>
              <w:spacing w:after="0"/>
              <w:jc w:val="center"/>
              <w:rPr>
                <w:rFonts w:cs="Arial"/>
              </w:rPr>
            </w:pPr>
          </w:p>
        </w:tc>
        <w:tc>
          <w:tcPr>
            <w:tcW w:w="3632" w:type="dxa"/>
            <w:shd w:val="clear" w:color="auto" w:fill="auto"/>
          </w:tcPr>
          <w:p w14:paraId="22D1093B" w14:textId="77777777" w:rsidR="00832960" w:rsidRPr="00F91D8B" w:rsidRDefault="00832960" w:rsidP="00F91D8B">
            <w:pPr>
              <w:spacing w:after="0"/>
              <w:rPr>
                <w:rFonts w:cs="Arial"/>
              </w:rPr>
            </w:pPr>
          </w:p>
        </w:tc>
      </w:tr>
      <w:tr w:rsidR="00832960" w:rsidRPr="00F91D8B" w14:paraId="0DB67748" w14:textId="77777777" w:rsidTr="00A00147">
        <w:tc>
          <w:tcPr>
            <w:tcW w:w="4878" w:type="dxa"/>
            <w:shd w:val="clear" w:color="auto" w:fill="auto"/>
          </w:tcPr>
          <w:p w14:paraId="0820EE58" w14:textId="77777777" w:rsidR="00832960" w:rsidRPr="00F91D8B" w:rsidRDefault="00832960" w:rsidP="00F91D8B">
            <w:pPr>
              <w:spacing w:after="0"/>
              <w:rPr>
                <w:rFonts w:cs="Arial"/>
              </w:rPr>
            </w:pPr>
            <w:r w:rsidRPr="00F91D8B">
              <w:rPr>
                <w:rFonts w:cs="Arial"/>
              </w:rPr>
              <w:t xml:space="preserve">Modeling of patient-friendly language during examination instruction  </w:t>
            </w:r>
          </w:p>
        </w:tc>
        <w:tc>
          <w:tcPr>
            <w:tcW w:w="1318" w:type="dxa"/>
            <w:shd w:val="clear" w:color="auto" w:fill="auto"/>
          </w:tcPr>
          <w:p w14:paraId="726449EE" w14:textId="77777777" w:rsidR="00832960" w:rsidRPr="00F91D8B" w:rsidRDefault="00832960" w:rsidP="00F91D8B">
            <w:pPr>
              <w:spacing w:after="0"/>
              <w:jc w:val="center"/>
              <w:rPr>
                <w:rFonts w:cs="Arial"/>
              </w:rPr>
            </w:pPr>
          </w:p>
        </w:tc>
        <w:tc>
          <w:tcPr>
            <w:tcW w:w="1630" w:type="dxa"/>
            <w:shd w:val="clear" w:color="auto" w:fill="auto"/>
          </w:tcPr>
          <w:p w14:paraId="0C7536DC" w14:textId="77777777" w:rsidR="00832960" w:rsidRPr="00F91D8B" w:rsidRDefault="00832960" w:rsidP="00F91D8B">
            <w:pPr>
              <w:spacing w:after="0"/>
              <w:jc w:val="center"/>
              <w:rPr>
                <w:rFonts w:cs="Arial"/>
              </w:rPr>
            </w:pPr>
          </w:p>
        </w:tc>
        <w:tc>
          <w:tcPr>
            <w:tcW w:w="1358" w:type="dxa"/>
            <w:shd w:val="clear" w:color="auto" w:fill="auto"/>
          </w:tcPr>
          <w:p w14:paraId="07C65218" w14:textId="77777777" w:rsidR="00832960" w:rsidRPr="00F91D8B" w:rsidRDefault="00832960" w:rsidP="00F91D8B">
            <w:pPr>
              <w:spacing w:after="0"/>
              <w:jc w:val="center"/>
              <w:rPr>
                <w:rFonts w:cs="Arial"/>
              </w:rPr>
            </w:pPr>
          </w:p>
        </w:tc>
        <w:tc>
          <w:tcPr>
            <w:tcW w:w="3632" w:type="dxa"/>
            <w:shd w:val="clear" w:color="auto" w:fill="auto"/>
          </w:tcPr>
          <w:p w14:paraId="5E4810B9" w14:textId="77777777" w:rsidR="00832960" w:rsidRPr="00F91D8B" w:rsidRDefault="00832960" w:rsidP="00F91D8B">
            <w:pPr>
              <w:spacing w:after="0"/>
              <w:rPr>
                <w:rFonts w:cs="Arial"/>
              </w:rPr>
            </w:pPr>
          </w:p>
        </w:tc>
      </w:tr>
      <w:tr w:rsidR="00832960" w:rsidRPr="00F91D8B" w14:paraId="083B1E20" w14:textId="77777777" w:rsidTr="00A00147">
        <w:tc>
          <w:tcPr>
            <w:tcW w:w="4878" w:type="dxa"/>
            <w:shd w:val="clear" w:color="auto" w:fill="auto"/>
          </w:tcPr>
          <w:p w14:paraId="2C0AB21D" w14:textId="77777777" w:rsidR="00832960" w:rsidRPr="00F91D8B" w:rsidRDefault="00832960" w:rsidP="00F91D8B">
            <w:pPr>
              <w:spacing w:after="0"/>
              <w:rPr>
                <w:rFonts w:cs="Arial"/>
              </w:rPr>
            </w:pPr>
            <w:r w:rsidRPr="00F91D8B">
              <w:rPr>
                <w:rFonts w:cs="Arial"/>
              </w:rPr>
              <w:t>Appropriate language and content for therapists performing the test/measure with a future patient</w:t>
            </w:r>
          </w:p>
        </w:tc>
        <w:tc>
          <w:tcPr>
            <w:tcW w:w="1318" w:type="dxa"/>
            <w:shd w:val="clear" w:color="auto" w:fill="auto"/>
          </w:tcPr>
          <w:p w14:paraId="315FDBC7" w14:textId="77777777" w:rsidR="00832960" w:rsidRPr="00F91D8B" w:rsidRDefault="00832960" w:rsidP="00F91D8B">
            <w:pPr>
              <w:spacing w:after="0"/>
              <w:jc w:val="center"/>
              <w:rPr>
                <w:rFonts w:cs="Arial"/>
              </w:rPr>
            </w:pPr>
          </w:p>
        </w:tc>
        <w:tc>
          <w:tcPr>
            <w:tcW w:w="1630" w:type="dxa"/>
            <w:shd w:val="clear" w:color="auto" w:fill="auto"/>
          </w:tcPr>
          <w:p w14:paraId="457F2195" w14:textId="77777777" w:rsidR="00832960" w:rsidRPr="00F91D8B" w:rsidRDefault="00832960" w:rsidP="00F91D8B">
            <w:pPr>
              <w:spacing w:after="0"/>
              <w:jc w:val="center"/>
              <w:rPr>
                <w:rFonts w:cs="Arial"/>
              </w:rPr>
            </w:pPr>
          </w:p>
        </w:tc>
        <w:tc>
          <w:tcPr>
            <w:tcW w:w="1358" w:type="dxa"/>
            <w:shd w:val="clear" w:color="auto" w:fill="auto"/>
          </w:tcPr>
          <w:p w14:paraId="39382520" w14:textId="77777777" w:rsidR="00832960" w:rsidRPr="00F91D8B" w:rsidRDefault="00832960" w:rsidP="00F91D8B">
            <w:pPr>
              <w:spacing w:after="0"/>
              <w:jc w:val="center"/>
              <w:rPr>
                <w:rFonts w:cs="Arial"/>
              </w:rPr>
            </w:pPr>
          </w:p>
        </w:tc>
        <w:tc>
          <w:tcPr>
            <w:tcW w:w="3632" w:type="dxa"/>
            <w:shd w:val="clear" w:color="auto" w:fill="auto"/>
          </w:tcPr>
          <w:p w14:paraId="39F507DB" w14:textId="77777777" w:rsidR="00832960" w:rsidRPr="00F91D8B" w:rsidRDefault="00832960" w:rsidP="00F91D8B">
            <w:pPr>
              <w:spacing w:after="0"/>
              <w:rPr>
                <w:rFonts w:cs="Arial"/>
              </w:rPr>
            </w:pPr>
          </w:p>
        </w:tc>
      </w:tr>
      <w:tr w:rsidR="00832960" w:rsidRPr="00F91D8B" w14:paraId="5A890629" w14:textId="77777777" w:rsidTr="00A00147">
        <w:tc>
          <w:tcPr>
            <w:tcW w:w="4878" w:type="dxa"/>
            <w:shd w:val="clear" w:color="auto" w:fill="auto"/>
          </w:tcPr>
          <w:p w14:paraId="5EFF62A0" w14:textId="77777777" w:rsidR="00832960" w:rsidRPr="00F91D8B" w:rsidRDefault="00832960" w:rsidP="00F91D8B">
            <w:pPr>
              <w:spacing w:after="0"/>
              <w:rPr>
                <w:rFonts w:cs="Arial"/>
              </w:rPr>
            </w:pPr>
            <w:r w:rsidRPr="00F91D8B">
              <w:rPr>
                <w:rFonts w:cs="Arial"/>
              </w:rPr>
              <w:t xml:space="preserve">Description of how test/measure links to neuroanatomical structures and anticipated test results  </w:t>
            </w:r>
          </w:p>
        </w:tc>
        <w:tc>
          <w:tcPr>
            <w:tcW w:w="1318" w:type="dxa"/>
            <w:shd w:val="clear" w:color="auto" w:fill="auto"/>
          </w:tcPr>
          <w:p w14:paraId="06778C64" w14:textId="77777777" w:rsidR="00832960" w:rsidRPr="00F91D8B" w:rsidRDefault="00832960" w:rsidP="00F91D8B">
            <w:pPr>
              <w:spacing w:after="0"/>
              <w:jc w:val="center"/>
              <w:rPr>
                <w:rFonts w:cs="Arial"/>
              </w:rPr>
            </w:pPr>
          </w:p>
        </w:tc>
        <w:tc>
          <w:tcPr>
            <w:tcW w:w="1630" w:type="dxa"/>
            <w:shd w:val="clear" w:color="auto" w:fill="auto"/>
          </w:tcPr>
          <w:p w14:paraId="335179E6" w14:textId="77777777" w:rsidR="00832960" w:rsidRPr="00F91D8B" w:rsidRDefault="00832960" w:rsidP="00F91D8B">
            <w:pPr>
              <w:spacing w:after="0"/>
              <w:jc w:val="center"/>
              <w:rPr>
                <w:rFonts w:cs="Arial"/>
              </w:rPr>
            </w:pPr>
          </w:p>
        </w:tc>
        <w:tc>
          <w:tcPr>
            <w:tcW w:w="1358" w:type="dxa"/>
            <w:shd w:val="clear" w:color="auto" w:fill="auto"/>
          </w:tcPr>
          <w:p w14:paraId="57BE2E6A" w14:textId="77777777" w:rsidR="00832960" w:rsidRPr="00F91D8B" w:rsidRDefault="00832960" w:rsidP="00F91D8B">
            <w:pPr>
              <w:spacing w:after="0"/>
              <w:jc w:val="center"/>
              <w:rPr>
                <w:rFonts w:cs="Arial"/>
              </w:rPr>
            </w:pPr>
          </w:p>
        </w:tc>
        <w:tc>
          <w:tcPr>
            <w:tcW w:w="3632" w:type="dxa"/>
            <w:shd w:val="clear" w:color="auto" w:fill="auto"/>
          </w:tcPr>
          <w:p w14:paraId="36078BC0" w14:textId="77777777" w:rsidR="00832960" w:rsidRPr="00F91D8B" w:rsidRDefault="00832960" w:rsidP="00F91D8B">
            <w:pPr>
              <w:spacing w:after="0"/>
              <w:rPr>
                <w:rFonts w:cs="Arial"/>
              </w:rPr>
            </w:pPr>
          </w:p>
        </w:tc>
      </w:tr>
      <w:tr w:rsidR="00832960" w:rsidRPr="00F91D8B" w14:paraId="02C2B445" w14:textId="77777777" w:rsidTr="00A00147">
        <w:tc>
          <w:tcPr>
            <w:tcW w:w="4878" w:type="dxa"/>
            <w:shd w:val="clear" w:color="auto" w:fill="auto"/>
          </w:tcPr>
          <w:p w14:paraId="55BE42B0" w14:textId="77777777" w:rsidR="00832960" w:rsidRPr="00F91D8B" w:rsidRDefault="00832960" w:rsidP="00F91D8B">
            <w:pPr>
              <w:spacing w:after="0"/>
              <w:rPr>
                <w:rFonts w:cs="Arial"/>
              </w:rPr>
            </w:pPr>
            <w:r w:rsidRPr="00F91D8B">
              <w:rPr>
                <w:rFonts w:cs="Arial"/>
              </w:rPr>
              <w:t xml:space="preserve">Assessment of audience knowledge </w:t>
            </w:r>
          </w:p>
          <w:p w14:paraId="7F113413" w14:textId="77777777" w:rsidR="00832960" w:rsidRPr="00F91D8B" w:rsidRDefault="00832960" w:rsidP="00F91D8B">
            <w:pPr>
              <w:spacing w:after="0"/>
              <w:rPr>
                <w:rFonts w:cs="Arial"/>
              </w:rPr>
            </w:pPr>
            <w:r w:rsidRPr="00F91D8B">
              <w:rPr>
                <w:rFonts w:cs="Arial"/>
              </w:rPr>
              <w:t xml:space="preserve">(class as a whole or individuals within the class)  </w:t>
            </w:r>
          </w:p>
        </w:tc>
        <w:tc>
          <w:tcPr>
            <w:tcW w:w="1318" w:type="dxa"/>
            <w:shd w:val="clear" w:color="auto" w:fill="auto"/>
          </w:tcPr>
          <w:p w14:paraId="5207AA72" w14:textId="77777777" w:rsidR="00832960" w:rsidRPr="00F91D8B" w:rsidRDefault="00832960" w:rsidP="00F91D8B">
            <w:pPr>
              <w:spacing w:after="0"/>
              <w:jc w:val="center"/>
              <w:rPr>
                <w:rFonts w:cs="Arial"/>
              </w:rPr>
            </w:pPr>
          </w:p>
        </w:tc>
        <w:tc>
          <w:tcPr>
            <w:tcW w:w="1630" w:type="dxa"/>
            <w:shd w:val="clear" w:color="auto" w:fill="auto"/>
          </w:tcPr>
          <w:p w14:paraId="0B22C6D6" w14:textId="77777777" w:rsidR="00832960" w:rsidRPr="00F91D8B" w:rsidRDefault="00832960" w:rsidP="00F91D8B">
            <w:pPr>
              <w:spacing w:after="0"/>
              <w:jc w:val="center"/>
              <w:rPr>
                <w:rFonts w:cs="Arial"/>
              </w:rPr>
            </w:pPr>
          </w:p>
        </w:tc>
        <w:tc>
          <w:tcPr>
            <w:tcW w:w="1358" w:type="dxa"/>
            <w:shd w:val="clear" w:color="auto" w:fill="auto"/>
          </w:tcPr>
          <w:p w14:paraId="5032B70A" w14:textId="77777777" w:rsidR="00832960" w:rsidRPr="00F91D8B" w:rsidRDefault="00832960" w:rsidP="00F91D8B">
            <w:pPr>
              <w:spacing w:after="0"/>
              <w:jc w:val="center"/>
              <w:rPr>
                <w:rFonts w:cs="Arial"/>
              </w:rPr>
            </w:pPr>
          </w:p>
        </w:tc>
        <w:tc>
          <w:tcPr>
            <w:tcW w:w="3632" w:type="dxa"/>
            <w:shd w:val="clear" w:color="auto" w:fill="auto"/>
          </w:tcPr>
          <w:p w14:paraId="44A4D66C" w14:textId="77777777" w:rsidR="00832960" w:rsidRPr="00F91D8B" w:rsidRDefault="00832960" w:rsidP="00F91D8B">
            <w:pPr>
              <w:spacing w:after="0"/>
              <w:rPr>
                <w:rFonts w:cs="Arial"/>
              </w:rPr>
            </w:pPr>
          </w:p>
        </w:tc>
      </w:tr>
      <w:tr w:rsidR="00832960" w:rsidRPr="00F91D8B" w14:paraId="3A99167F" w14:textId="77777777" w:rsidTr="00A00147">
        <w:tc>
          <w:tcPr>
            <w:tcW w:w="4878" w:type="dxa"/>
            <w:shd w:val="clear" w:color="auto" w:fill="auto"/>
          </w:tcPr>
          <w:p w14:paraId="028A760A" w14:textId="77777777" w:rsidR="00832960" w:rsidRPr="00F91D8B" w:rsidRDefault="00832960" w:rsidP="00F91D8B">
            <w:pPr>
              <w:spacing w:after="0"/>
              <w:rPr>
                <w:rFonts w:cs="Arial"/>
              </w:rPr>
            </w:pPr>
            <w:r w:rsidRPr="00F91D8B">
              <w:rPr>
                <w:rFonts w:cs="Arial"/>
              </w:rPr>
              <w:lastRenderedPageBreak/>
              <w:t xml:space="preserve">Level of refinement of presentation (time management, clearly rehearsed) and </w:t>
            </w:r>
          </w:p>
          <w:p w14:paraId="14DF0F3E" w14:textId="77777777" w:rsidR="00832960" w:rsidRPr="00F91D8B" w:rsidRDefault="00832960" w:rsidP="00F91D8B">
            <w:pPr>
              <w:spacing w:after="0"/>
              <w:rPr>
                <w:rFonts w:cs="Arial"/>
              </w:rPr>
            </w:pPr>
            <w:proofErr w:type="gramStart"/>
            <w:r w:rsidRPr="00F91D8B">
              <w:rPr>
                <w:rFonts w:cs="Arial"/>
              </w:rPr>
              <w:t>equal</w:t>
            </w:r>
            <w:proofErr w:type="gramEnd"/>
            <w:r w:rsidRPr="00F91D8B">
              <w:rPr>
                <w:rFonts w:cs="Arial"/>
              </w:rPr>
              <w:t xml:space="preserve"> division of presentation by presenters. One person in the group should not dominate the presentation.  </w:t>
            </w:r>
          </w:p>
        </w:tc>
        <w:tc>
          <w:tcPr>
            <w:tcW w:w="1318" w:type="dxa"/>
            <w:shd w:val="clear" w:color="auto" w:fill="auto"/>
          </w:tcPr>
          <w:p w14:paraId="4C586B13" w14:textId="77777777" w:rsidR="00832960" w:rsidRPr="00F91D8B" w:rsidRDefault="00832960" w:rsidP="00F91D8B">
            <w:pPr>
              <w:spacing w:after="0"/>
              <w:jc w:val="center"/>
              <w:rPr>
                <w:rFonts w:cs="Arial"/>
              </w:rPr>
            </w:pPr>
          </w:p>
        </w:tc>
        <w:tc>
          <w:tcPr>
            <w:tcW w:w="1630" w:type="dxa"/>
            <w:shd w:val="clear" w:color="auto" w:fill="auto"/>
          </w:tcPr>
          <w:p w14:paraId="77109AE6" w14:textId="77777777" w:rsidR="00832960" w:rsidRPr="00F91D8B" w:rsidRDefault="00832960" w:rsidP="00F91D8B">
            <w:pPr>
              <w:spacing w:after="0"/>
              <w:jc w:val="center"/>
              <w:rPr>
                <w:rFonts w:cs="Arial"/>
              </w:rPr>
            </w:pPr>
          </w:p>
        </w:tc>
        <w:tc>
          <w:tcPr>
            <w:tcW w:w="1358" w:type="dxa"/>
            <w:shd w:val="clear" w:color="auto" w:fill="auto"/>
          </w:tcPr>
          <w:p w14:paraId="53135FDE" w14:textId="77777777" w:rsidR="00832960" w:rsidRPr="00F91D8B" w:rsidRDefault="00832960" w:rsidP="00F91D8B">
            <w:pPr>
              <w:spacing w:after="0"/>
              <w:jc w:val="center"/>
              <w:rPr>
                <w:rFonts w:cs="Arial"/>
              </w:rPr>
            </w:pPr>
          </w:p>
        </w:tc>
        <w:tc>
          <w:tcPr>
            <w:tcW w:w="3632" w:type="dxa"/>
            <w:shd w:val="clear" w:color="auto" w:fill="auto"/>
          </w:tcPr>
          <w:p w14:paraId="29519A4C" w14:textId="77777777" w:rsidR="00832960" w:rsidRPr="00F91D8B" w:rsidRDefault="00832960" w:rsidP="00F91D8B">
            <w:pPr>
              <w:spacing w:after="0"/>
              <w:rPr>
                <w:rFonts w:cs="Arial"/>
              </w:rPr>
            </w:pPr>
          </w:p>
        </w:tc>
      </w:tr>
    </w:tbl>
    <w:p w14:paraId="442DEE5D" w14:textId="1585E084" w:rsidR="00103B96" w:rsidRPr="00F91D8B" w:rsidRDefault="00180802" w:rsidP="00F91D8B">
      <w:pPr>
        <w:spacing w:after="0"/>
        <w:rPr>
          <w:b/>
          <w:u w:val="single"/>
        </w:rPr>
        <w:sectPr w:rsidR="00103B96" w:rsidRPr="00F91D8B" w:rsidSect="00103B96">
          <w:pgSz w:w="15840" w:h="12240" w:orient="landscape" w:code="1"/>
          <w:pgMar w:top="1440" w:right="1440" w:bottom="1440" w:left="1440" w:header="720" w:footer="720" w:gutter="0"/>
          <w:cols w:space="720"/>
          <w:docGrid w:linePitch="360"/>
        </w:sectPr>
      </w:pPr>
      <w:r w:rsidRPr="00F91D8B">
        <w:rPr>
          <w:rFonts w:cs="Arial"/>
          <w:b/>
        </w:rPr>
        <w:t xml:space="preserve">Total:        /20 </w:t>
      </w:r>
    </w:p>
    <w:p w14:paraId="502496D3" w14:textId="34588D35" w:rsidR="00F3385D" w:rsidRPr="00F91D8B" w:rsidRDefault="00F3385D" w:rsidP="00F91D8B">
      <w:pPr>
        <w:spacing w:after="0"/>
      </w:pPr>
      <w:r w:rsidRPr="00F91D8B">
        <w:lastRenderedPageBreak/>
        <w:t>The feedback component will be scored out of 5 points based on the following criteria:</w:t>
      </w:r>
    </w:p>
    <w:p w14:paraId="26BB06E7" w14:textId="3014FD58" w:rsidR="00F3385D" w:rsidRPr="00F91D8B" w:rsidRDefault="00F3385D" w:rsidP="00F91D8B">
      <w:pPr>
        <w:pStyle w:val="ListParagraph"/>
        <w:numPr>
          <w:ilvl w:val="0"/>
          <w:numId w:val="13"/>
        </w:numPr>
        <w:spacing w:after="0"/>
      </w:pPr>
      <w:r w:rsidRPr="00F91D8B">
        <w:t>B</w:t>
      </w:r>
      <w:r w:rsidR="00F93E1A" w:rsidRPr="00F91D8B">
        <w:t>e mindful that the feedback you</w:t>
      </w:r>
      <w:r w:rsidRPr="00F91D8B">
        <w:t xml:space="preserve"> provide will </w:t>
      </w:r>
      <w:r w:rsidRPr="00F91D8B">
        <w:rPr>
          <w:b/>
        </w:rPr>
        <w:t>NOT</w:t>
      </w:r>
      <w:r w:rsidRPr="00F91D8B">
        <w:t xml:space="preserve"> be anonymous</w:t>
      </w:r>
    </w:p>
    <w:p w14:paraId="7004951F" w14:textId="77777777" w:rsidR="00F3385D" w:rsidRPr="00F91D8B" w:rsidRDefault="00F3385D" w:rsidP="00F91D8B">
      <w:pPr>
        <w:pStyle w:val="ListParagraph"/>
        <w:numPr>
          <w:ilvl w:val="0"/>
          <w:numId w:val="13"/>
        </w:numPr>
        <w:spacing w:after="0"/>
      </w:pPr>
      <w:r w:rsidRPr="00F91D8B">
        <w:t>Complete the feedback electronically as instructed before the end of the class</w:t>
      </w:r>
    </w:p>
    <w:p w14:paraId="7AD9B1DB" w14:textId="514F36FC" w:rsidR="00F3385D" w:rsidRPr="00F91D8B" w:rsidRDefault="00F3385D" w:rsidP="00F91D8B">
      <w:pPr>
        <w:pStyle w:val="ListParagraph"/>
        <w:numPr>
          <w:ilvl w:val="0"/>
          <w:numId w:val="13"/>
        </w:numPr>
        <w:spacing w:after="0"/>
      </w:pPr>
      <w:r w:rsidRPr="00F91D8B">
        <w:t>Use professional language</w:t>
      </w:r>
      <w:r w:rsidR="00F93E1A" w:rsidRPr="00F91D8B">
        <w:t xml:space="preserve"> </w:t>
      </w:r>
      <w:r w:rsidR="004D739D" w:rsidRPr="00F91D8B">
        <w:t xml:space="preserve">(1 </w:t>
      </w:r>
      <w:proofErr w:type="spellStart"/>
      <w:r w:rsidR="004D739D" w:rsidRPr="00F91D8B">
        <w:t>pt</w:t>
      </w:r>
      <w:proofErr w:type="spellEnd"/>
      <w:r w:rsidR="004D739D" w:rsidRPr="00F91D8B">
        <w:t>)</w:t>
      </w:r>
    </w:p>
    <w:p w14:paraId="0C891878" w14:textId="1DEA1EF9" w:rsidR="00F3385D" w:rsidRPr="00F91D8B" w:rsidRDefault="00F3385D" w:rsidP="00F91D8B">
      <w:pPr>
        <w:pStyle w:val="ListParagraph"/>
        <w:numPr>
          <w:ilvl w:val="0"/>
          <w:numId w:val="13"/>
        </w:numPr>
        <w:spacing w:after="0"/>
      </w:pPr>
      <w:r w:rsidRPr="00F91D8B">
        <w:t>Provide</w:t>
      </w:r>
      <w:r w:rsidR="006B49C3" w:rsidRPr="00F91D8B">
        <w:t>s</w:t>
      </w:r>
      <w:r w:rsidRPr="00F91D8B">
        <w:t xml:space="preserve"> meaningful feedback</w:t>
      </w:r>
      <w:r w:rsidR="004D739D" w:rsidRPr="00F91D8B">
        <w:t xml:space="preserve"> </w:t>
      </w:r>
      <w:r w:rsidR="00F93E1A" w:rsidRPr="00F91D8B">
        <w:t xml:space="preserve">for improvement </w:t>
      </w:r>
      <w:r w:rsidR="006B49C3" w:rsidRPr="00F91D8B">
        <w:t xml:space="preserve">(1 </w:t>
      </w:r>
      <w:proofErr w:type="spellStart"/>
      <w:r w:rsidR="006B49C3" w:rsidRPr="00F91D8B">
        <w:t>pt</w:t>
      </w:r>
      <w:proofErr w:type="spellEnd"/>
      <w:r w:rsidR="006B49C3" w:rsidRPr="00F91D8B">
        <w:t>)</w:t>
      </w:r>
    </w:p>
    <w:p w14:paraId="6A2B702A" w14:textId="3CCB04A1" w:rsidR="006B49C3" w:rsidRPr="00F91D8B" w:rsidRDefault="006B49C3" w:rsidP="00F91D8B">
      <w:pPr>
        <w:pStyle w:val="ListParagraph"/>
        <w:numPr>
          <w:ilvl w:val="0"/>
          <w:numId w:val="13"/>
        </w:numPr>
        <w:spacing w:after="0"/>
      </w:pPr>
      <w:r w:rsidRPr="00F91D8B">
        <w:t>Completes the entire peer feedback form for each pair evaluated (3 pts)</w:t>
      </w:r>
    </w:p>
    <w:p w14:paraId="027C7B74" w14:textId="77777777" w:rsidR="00F3385D" w:rsidRPr="00F91D8B" w:rsidRDefault="00F3385D" w:rsidP="00F91D8B">
      <w:pPr>
        <w:spacing w:after="0"/>
        <w:jc w:val="center"/>
      </w:pPr>
    </w:p>
    <w:p w14:paraId="7C98CC08" w14:textId="77777777" w:rsidR="00F3385D" w:rsidRPr="00F91D8B" w:rsidRDefault="00F3385D" w:rsidP="00F91D8B">
      <w:pPr>
        <w:spacing w:after="0"/>
        <w:jc w:val="center"/>
      </w:pPr>
      <w:r w:rsidRPr="00F91D8B">
        <w:t xml:space="preserve">1   </w:t>
      </w:r>
      <w:r w:rsidRPr="00F91D8B">
        <w:tab/>
        <w:t xml:space="preserve">2   </w:t>
      </w:r>
      <w:r w:rsidRPr="00F91D8B">
        <w:tab/>
        <w:t xml:space="preserve">3   </w:t>
      </w:r>
      <w:r w:rsidRPr="00F91D8B">
        <w:tab/>
        <w:t xml:space="preserve">4   </w:t>
      </w:r>
      <w:r w:rsidRPr="00F91D8B">
        <w:tab/>
        <w:t>5</w:t>
      </w:r>
    </w:p>
    <w:p w14:paraId="0CD84646" w14:textId="77777777" w:rsidR="00F3385D" w:rsidRPr="00F91D8B" w:rsidRDefault="00F3385D" w:rsidP="00F91D8B">
      <w:pPr>
        <w:spacing w:after="0"/>
        <w:jc w:val="center"/>
      </w:pPr>
    </w:p>
    <w:p w14:paraId="5EF3FF0E" w14:textId="2B103F34" w:rsidR="00F3385D" w:rsidRPr="00F91D8B" w:rsidRDefault="00F3385D" w:rsidP="00F91D8B">
      <w:pPr>
        <w:spacing w:after="0"/>
      </w:pPr>
      <w:r w:rsidRPr="00F91D8B">
        <w:t xml:space="preserve">Instructor Comments:  </w:t>
      </w:r>
    </w:p>
    <w:p w14:paraId="518CABA7" w14:textId="77777777" w:rsidR="00F3385D" w:rsidRPr="00F91D8B" w:rsidRDefault="00F3385D" w:rsidP="00F91D8B">
      <w:pPr>
        <w:spacing w:after="0"/>
      </w:pPr>
    </w:p>
    <w:p w14:paraId="4D6AEEF7" w14:textId="77777777" w:rsidR="003F4114" w:rsidRPr="00F91D8B" w:rsidRDefault="003F4114" w:rsidP="00F91D8B">
      <w:pPr>
        <w:rPr>
          <w:b/>
          <w:u w:val="single"/>
        </w:rPr>
      </w:pPr>
    </w:p>
    <w:p w14:paraId="2EC484B4" w14:textId="77777777" w:rsidR="003F4114" w:rsidRPr="00F91D8B" w:rsidRDefault="003F4114" w:rsidP="00F91D8B">
      <w:pPr>
        <w:rPr>
          <w:b/>
          <w:u w:val="single"/>
        </w:rPr>
      </w:pPr>
    </w:p>
    <w:p w14:paraId="2C4E4C38" w14:textId="77777777" w:rsidR="003F4114" w:rsidRPr="00F91D8B" w:rsidRDefault="003F4114" w:rsidP="00F91D8B">
      <w:pPr>
        <w:rPr>
          <w:b/>
          <w:u w:val="single"/>
        </w:rPr>
      </w:pPr>
    </w:p>
    <w:p w14:paraId="3E73214B" w14:textId="4423CBCD" w:rsidR="00F3385D" w:rsidRPr="00F91D8B" w:rsidRDefault="00F3385D" w:rsidP="00F91D8B">
      <w:pPr>
        <w:rPr>
          <w:b/>
          <w:u w:val="single"/>
        </w:rPr>
      </w:pPr>
      <w:r w:rsidRPr="00F91D8B">
        <w:rPr>
          <w:b/>
          <w:u w:val="single"/>
        </w:rPr>
        <w:t xml:space="preserve">STUDENT PEER </w:t>
      </w:r>
      <w:r w:rsidR="00B210FA" w:rsidRPr="00F91D8B">
        <w:rPr>
          <w:b/>
          <w:u w:val="single"/>
        </w:rPr>
        <w:t>FEEDBACK</w:t>
      </w:r>
      <w:r w:rsidRPr="00F91D8B">
        <w:rPr>
          <w:b/>
          <w:u w:val="single"/>
        </w:rPr>
        <w:t xml:space="preserve"> FORM EXAMPLE</w:t>
      </w:r>
    </w:p>
    <w:p w14:paraId="1E36A04A" w14:textId="675B1991" w:rsidR="00F3385D" w:rsidRPr="00F91D8B" w:rsidRDefault="00F3385D" w:rsidP="00F91D8B">
      <w:pPr>
        <w:spacing w:after="0"/>
        <w:rPr>
          <w:b/>
        </w:rPr>
      </w:pPr>
      <w:r w:rsidRPr="00F91D8B">
        <w:rPr>
          <w:b/>
        </w:rPr>
        <w:t>PT8418: Student Teaching Lab Peer Feedback</w:t>
      </w:r>
    </w:p>
    <w:p w14:paraId="3E9FBBB7" w14:textId="76910265" w:rsidR="00F3385D" w:rsidRPr="00F91D8B" w:rsidRDefault="00F3385D" w:rsidP="00F91D8B">
      <w:pPr>
        <w:pStyle w:val="ListParagraph"/>
        <w:numPr>
          <w:ilvl w:val="0"/>
          <w:numId w:val="11"/>
        </w:numPr>
        <w:spacing w:after="0"/>
        <w:rPr>
          <w:b/>
        </w:rPr>
      </w:pPr>
      <w:r w:rsidRPr="00F91D8B">
        <w:rPr>
          <w:b/>
        </w:rPr>
        <w:t>Note: This is NOT Anonymous Feedback. Please provide constructive criticism to your peers.</w:t>
      </w:r>
    </w:p>
    <w:p w14:paraId="12C31055" w14:textId="77777777" w:rsidR="00F3385D" w:rsidRPr="00F91D8B" w:rsidRDefault="00F3385D" w:rsidP="00F91D8B">
      <w:pPr>
        <w:spacing w:after="0"/>
        <w:rPr>
          <w:b/>
        </w:rPr>
      </w:pPr>
    </w:p>
    <w:p w14:paraId="064654D0" w14:textId="47D115EC" w:rsidR="00F3385D" w:rsidRPr="00F91D8B" w:rsidRDefault="00F3385D" w:rsidP="00F91D8B">
      <w:pPr>
        <w:spacing w:after="0"/>
        <w:rPr>
          <w:b/>
        </w:rPr>
      </w:pPr>
      <w:r w:rsidRPr="00F91D8B">
        <w:rPr>
          <w:b/>
        </w:rPr>
        <w:t>Presentation Group/Pair # ______</w:t>
      </w:r>
      <w:r w:rsidRPr="00F91D8B">
        <w:rPr>
          <w:b/>
        </w:rPr>
        <w:tab/>
      </w:r>
      <w:r w:rsidRPr="00F91D8B">
        <w:rPr>
          <w:b/>
        </w:rPr>
        <w:tab/>
      </w:r>
      <w:r w:rsidRPr="00F91D8B">
        <w:rPr>
          <w:b/>
        </w:rPr>
        <w:tab/>
        <w:t>Student Evaluator</w:t>
      </w:r>
      <w:r w:rsidRPr="00F91D8B">
        <w:rPr>
          <w:b/>
          <w:u w:val="single"/>
        </w:rPr>
        <w:tab/>
      </w:r>
      <w:r w:rsidRPr="00F91D8B">
        <w:rPr>
          <w:b/>
          <w:u w:val="single"/>
        </w:rPr>
        <w:tab/>
      </w:r>
      <w:r w:rsidRPr="00F91D8B">
        <w:rPr>
          <w:b/>
          <w:u w:val="single"/>
        </w:rPr>
        <w:tab/>
      </w:r>
      <w:r w:rsidRPr="00F91D8B">
        <w:rPr>
          <w:b/>
          <w:u w:val="single"/>
        </w:rPr>
        <w:tab/>
      </w:r>
    </w:p>
    <w:tbl>
      <w:tblPr>
        <w:tblStyle w:val="TableGrid"/>
        <w:tblW w:w="9738" w:type="dxa"/>
        <w:tblLook w:val="04A0" w:firstRow="1" w:lastRow="0" w:firstColumn="1" w:lastColumn="0" w:noHBand="0" w:noVBand="1"/>
      </w:tblPr>
      <w:tblGrid>
        <w:gridCol w:w="1728"/>
        <w:gridCol w:w="3690"/>
        <w:gridCol w:w="4320"/>
      </w:tblGrid>
      <w:tr w:rsidR="00F3385D" w:rsidRPr="00F91D8B" w14:paraId="59F01564" w14:textId="77777777" w:rsidTr="004D739D">
        <w:tc>
          <w:tcPr>
            <w:tcW w:w="1728" w:type="dxa"/>
          </w:tcPr>
          <w:p w14:paraId="10F13506" w14:textId="77777777" w:rsidR="00F3385D" w:rsidRPr="00F91D8B" w:rsidRDefault="00F3385D" w:rsidP="00F91D8B">
            <w:pPr>
              <w:spacing w:after="0"/>
            </w:pPr>
          </w:p>
        </w:tc>
        <w:tc>
          <w:tcPr>
            <w:tcW w:w="3690" w:type="dxa"/>
          </w:tcPr>
          <w:p w14:paraId="108BDCFB" w14:textId="58FD85BC" w:rsidR="00F3385D" w:rsidRPr="00F91D8B" w:rsidRDefault="00F3385D" w:rsidP="00F91D8B">
            <w:pPr>
              <w:spacing w:after="0"/>
              <w:rPr>
                <w:u w:val="single"/>
              </w:rPr>
            </w:pPr>
            <w:r w:rsidRPr="00F91D8B">
              <w:t>Student Name #1:</w:t>
            </w:r>
          </w:p>
        </w:tc>
        <w:tc>
          <w:tcPr>
            <w:tcW w:w="4320" w:type="dxa"/>
          </w:tcPr>
          <w:p w14:paraId="60A94CB1" w14:textId="11006E84" w:rsidR="00F3385D" w:rsidRPr="00F91D8B" w:rsidRDefault="00F3385D" w:rsidP="00F91D8B">
            <w:pPr>
              <w:spacing w:after="0"/>
            </w:pPr>
            <w:r w:rsidRPr="00F91D8B">
              <w:t xml:space="preserve">Student Name #2: </w:t>
            </w:r>
          </w:p>
        </w:tc>
      </w:tr>
      <w:tr w:rsidR="00F3385D" w:rsidRPr="00F91D8B" w14:paraId="342C8D91" w14:textId="77777777" w:rsidTr="004D739D">
        <w:tc>
          <w:tcPr>
            <w:tcW w:w="1728" w:type="dxa"/>
          </w:tcPr>
          <w:p w14:paraId="6A71772A" w14:textId="77777777" w:rsidR="00F3385D" w:rsidRPr="00F91D8B" w:rsidRDefault="00F3385D" w:rsidP="00F91D8B">
            <w:pPr>
              <w:spacing w:after="0"/>
            </w:pPr>
            <w:r w:rsidRPr="00F91D8B">
              <w:t>One thing I think this presenter did well:</w:t>
            </w:r>
          </w:p>
          <w:p w14:paraId="1DF57E4C" w14:textId="77777777" w:rsidR="00F3385D" w:rsidRPr="00F91D8B" w:rsidRDefault="00F3385D" w:rsidP="00F91D8B">
            <w:pPr>
              <w:spacing w:after="0"/>
            </w:pPr>
          </w:p>
        </w:tc>
        <w:tc>
          <w:tcPr>
            <w:tcW w:w="3690" w:type="dxa"/>
          </w:tcPr>
          <w:p w14:paraId="6DFADCA2" w14:textId="77777777" w:rsidR="00F3385D" w:rsidRPr="00F91D8B" w:rsidRDefault="00F3385D" w:rsidP="00F91D8B">
            <w:pPr>
              <w:spacing w:after="0"/>
            </w:pPr>
          </w:p>
          <w:p w14:paraId="18600CAD" w14:textId="77777777" w:rsidR="00F3385D" w:rsidRPr="00F91D8B" w:rsidRDefault="00F3385D" w:rsidP="00F91D8B">
            <w:pPr>
              <w:spacing w:after="0"/>
            </w:pPr>
          </w:p>
        </w:tc>
        <w:tc>
          <w:tcPr>
            <w:tcW w:w="4320" w:type="dxa"/>
          </w:tcPr>
          <w:p w14:paraId="37D2FC79" w14:textId="77777777" w:rsidR="00F3385D" w:rsidRPr="00F91D8B" w:rsidRDefault="00F3385D" w:rsidP="00F91D8B">
            <w:pPr>
              <w:spacing w:after="0"/>
            </w:pPr>
          </w:p>
        </w:tc>
      </w:tr>
      <w:tr w:rsidR="00F3385D" w:rsidRPr="00F91D8B" w14:paraId="0D83FA5F" w14:textId="77777777" w:rsidTr="004D739D">
        <w:tc>
          <w:tcPr>
            <w:tcW w:w="1728" w:type="dxa"/>
          </w:tcPr>
          <w:p w14:paraId="2C3FC4D3" w14:textId="77777777" w:rsidR="00F3385D" w:rsidRPr="00F91D8B" w:rsidRDefault="00F3385D" w:rsidP="00F91D8B">
            <w:pPr>
              <w:spacing w:after="0"/>
            </w:pPr>
            <w:r w:rsidRPr="00F91D8B">
              <w:t>One thing I think this presenter could improve upon:</w:t>
            </w:r>
          </w:p>
          <w:p w14:paraId="256EA1A1" w14:textId="77777777" w:rsidR="00F3385D" w:rsidRPr="00F91D8B" w:rsidRDefault="00F3385D" w:rsidP="00F91D8B">
            <w:pPr>
              <w:spacing w:after="0"/>
            </w:pPr>
          </w:p>
        </w:tc>
        <w:tc>
          <w:tcPr>
            <w:tcW w:w="3690" w:type="dxa"/>
          </w:tcPr>
          <w:p w14:paraId="203B6233" w14:textId="77777777" w:rsidR="00F3385D" w:rsidRPr="00F91D8B" w:rsidRDefault="00F3385D" w:rsidP="00F91D8B">
            <w:pPr>
              <w:spacing w:after="0"/>
            </w:pPr>
          </w:p>
          <w:p w14:paraId="475F66FB" w14:textId="77777777" w:rsidR="00F3385D" w:rsidRPr="00F91D8B" w:rsidRDefault="00F3385D" w:rsidP="00F91D8B">
            <w:pPr>
              <w:spacing w:after="0"/>
            </w:pPr>
          </w:p>
        </w:tc>
        <w:tc>
          <w:tcPr>
            <w:tcW w:w="4320" w:type="dxa"/>
          </w:tcPr>
          <w:p w14:paraId="31FE8D6A" w14:textId="77777777" w:rsidR="00F3385D" w:rsidRPr="00F91D8B" w:rsidRDefault="00F3385D" w:rsidP="00F91D8B">
            <w:pPr>
              <w:spacing w:after="0"/>
            </w:pPr>
          </w:p>
        </w:tc>
      </w:tr>
      <w:tr w:rsidR="00F3385D" w:rsidRPr="00F91D8B" w14:paraId="5175DCEE" w14:textId="77777777" w:rsidTr="004D739D">
        <w:tc>
          <w:tcPr>
            <w:tcW w:w="1728" w:type="dxa"/>
          </w:tcPr>
          <w:p w14:paraId="1B28C057" w14:textId="77777777" w:rsidR="00F3385D" w:rsidRPr="00F91D8B" w:rsidRDefault="00F3385D" w:rsidP="00F91D8B">
            <w:pPr>
              <w:spacing w:after="0"/>
            </w:pPr>
            <w:r w:rsidRPr="00F91D8B">
              <w:t>Other comments:</w:t>
            </w:r>
          </w:p>
          <w:p w14:paraId="05679B6E" w14:textId="77777777" w:rsidR="00F3385D" w:rsidRPr="00F91D8B" w:rsidRDefault="00F3385D" w:rsidP="00F91D8B">
            <w:pPr>
              <w:spacing w:after="0"/>
            </w:pPr>
          </w:p>
        </w:tc>
        <w:tc>
          <w:tcPr>
            <w:tcW w:w="3690" w:type="dxa"/>
          </w:tcPr>
          <w:p w14:paraId="6F952BB9" w14:textId="77777777" w:rsidR="00F3385D" w:rsidRPr="00F91D8B" w:rsidRDefault="00F3385D" w:rsidP="00F91D8B">
            <w:pPr>
              <w:spacing w:after="0"/>
            </w:pPr>
          </w:p>
        </w:tc>
        <w:tc>
          <w:tcPr>
            <w:tcW w:w="4320" w:type="dxa"/>
          </w:tcPr>
          <w:p w14:paraId="48BB3891" w14:textId="77777777" w:rsidR="00F3385D" w:rsidRPr="00F91D8B" w:rsidRDefault="00F3385D" w:rsidP="00F91D8B">
            <w:pPr>
              <w:spacing w:after="0"/>
            </w:pPr>
          </w:p>
        </w:tc>
      </w:tr>
    </w:tbl>
    <w:p w14:paraId="31A97087" w14:textId="77777777" w:rsidR="00F3385D" w:rsidRPr="00F91D8B" w:rsidRDefault="00F3385D" w:rsidP="00F91D8B">
      <w:pPr>
        <w:spacing w:after="0"/>
      </w:pPr>
      <w:r w:rsidRPr="00F91D8B">
        <w:br/>
      </w:r>
    </w:p>
    <w:p w14:paraId="57F6505B" w14:textId="77777777" w:rsidR="0069634D" w:rsidRPr="00F91D8B" w:rsidRDefault="0069634D" w:rsidP="00F91D8B">
      <w:pPr>
        <w:spacing w:after="0"/>
        <w:ind w:left="360"/>
        <w:rPr>
          <w:rFonts w:cs="Arial"/>
        </w:rPr>
      </w:pPr>
    </w:p>
    <w:sectPr w:rsidR="0069634D" w:rsidRPr="00F91D8B" w:rsidSect="00103B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A00D" w14:textId="77777777" w:rsidR="00B80282" w:rsidRDefault="00B80282" w:rsidP="000B0734">
      <w:pPr>
        <w:spacing w:after="0" w:line="240" w:lineRule="auto"/>
      </w:pPr>
      <w:r>
        <w:separator/>
      </w:r>
    </w:p>
  </w:endnote>
  <w:endnote w:type="continuationSeparator" w:id="0">
    <w:p w14:paraId="6C60FCAE" w14:textId="77777777" w:rsidR="00B80282" w:rsidRDefault="00B80282"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E696F" w14:textId="77777777" w:rsidR="00187E4D" w:rsidRDefault="00187E4D" w:rsidP="00187E4D">
    <w:pPr>
      <w:pStyle w:val="Footer"/>
      <w:jc w:val="center"/>
      <w:rPr>
        <w:i/>
        <w:sz w:val="18"/>
        <w:szCs w:val="18"/>
      </w:rPr>
    </w:pPr>
    <w:r>
      <w:rPr>
        <w:i/>
        <w:iCs/>
        <w:sz w:val="18"/>
        <w:szCs w:val="18"/>
      </w:rPr>
      <w:t>Reprinted with permission of the Academy of Neurologic Physical Therapy, Inc.</w:t>
    </w:r>
  </w:p>
  <w:p w14:paraId="6D6F8E81" w14:textId="77777777" w:rsidR="00187E4D" w:rsidRDefault="00187E4D" w:rsidP="00187E4D">
    <w:pPr>
      <w:pStyle w:val="Footer"/>
      <w:jc w:val="center"/>
      <w:rPr>
        <w:i/>
        <w:sz w:val="18"/>
        <w:szCs w:val="18"/>
      </w:rPr>
    </w:pPr>
    <w:r>
      <w:rPr>
        <w:i/>
        <w:sz w:val="18"/>
        <w:szCs w:val="18"/>
      </w:rPr>
      <w:t>Do not duplicate without acknowledging Learning Activity author.</w:t>
    </w:r>
  </w:p>
  <w:p w14:paraId="31541B66" w14:textId="77777777" w:rsidR="004D739D" w:rsidRPr="00187E4D" w:rsidRDefault="004D739D" w:rsidP="00187E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8947A" w14:textId="77777777" w:rsidR="00B80282" w:rsidRDefault="00B80282" w:rsidP="000B0734">
      <w:pPr>
        <w:spacing w:after="0" w:line="240" w:lineRule="auto"/>
      </w:pPr>
      <w:r>
        <w:separator/>
      </w:r>
    </w:p>
  </w:footnote>
  <w:footnote w:type="continuationSeparator" w:id="0">
    <w:p w14:paraId="395FDACB" w14:textId="77777777" w:rsidR="00B80282" w:rsidRDefault="00B80282"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1353B7DD" w:rsidR="004D739D" w:rsidRDefault="004D739D"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66A7"/>
    <w:multiLevelType w:val="hybridMultilevel"/>
    <w:tmpl w:val="DDBC2DAE"/>
    <w:lvl w:ilvl="0" w:tplc="FF32CCF2">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15B2"/>
    <w:multiLevelType w:val="hybridMultilevel"/>
    <w:tmpl w:val="182E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B586B"/>
    <w:multiLevelType w:val="hybridMultilevel"/>
    <w:tmpl w:val="86E6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F43A2"/>
    <w:multiLevelType w:val="hybridMultilevel"/>
    <w:tmpl w:val="D366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20B20"/>
    <w:multiLevelType w:val="hybridMultilevel"/>
    <w:tmpl w:val="C5FC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E7B06"/>
    <w:multiLevelType w:val="hybridMultilevel"/>
    <w:tmpl w:val="05A03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27441"/>
    <w:multiLevelType w:val="hybridMultilevel"/>
    <w:tmpl w:val="671A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F09CB"/>
    <w:multiLevelType w:val="hybridMultilevel"/>
    <w:tmpl w:val="C95AF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E3B3E"/>
    <w:multiLevelType w:val="hybridMultilevel"/>
    <w:tmpl w:val="1680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4"/>
  </w:num>
  <w:num w:numId="4">
    <w:abstractNumId w:val="7"/>
  </w:num>
  <w:num w:numId="5">
    <w:abstractNumId w:val="12"/>
  </w:num>
  <w:num w:numId="6">
    <w:abstractNumId w:val="8"/>
  </w:num>
  <w:num w:numId="7">
    <w:abstractNumId w:val="4"/>
  </w:num>
  <w:num w:numId="8">
    <w:abstractNumId w:val="13"/>
  </w:num>
  <w:num w:numId="9">
    <w:abstractNumId w:val="10"/>
  </w:num>
  <w:num w:numId="10">
    <w:abstractNumId w:val="11"/>
  </w:num>
  <w:num w:numId="11">
    <w:abstractNumId w:val="5"/>
  </w:num>
  <w:num w:numId="12">
    <w:abstractNumId w:val="9"/>
  </w:num>
  <w:num w:numId="13">
    <w:abstractNumId w:val="15"/>
  </w:num>
  <w:num w:numId="14">
    <w:abstractNumId w:val="3"/>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12DBB"/>
    <w:rsid w:val="00052801"/>
    <w:rsid w:val="0009476D"/>
    <w:rsid w:val="000B0734"/>
    <w:rsid w:val="000B07A1"/>
    <w:rsid w:val="000B5896"/>
    <w:rsid w:val="000C6B05"/>
    <w:rsid w:val="000F00A8"/>
    <w:rsid w:val="00103B96"/>
    <w:rsid w:val="001226BD"/>
    <w:rsid w:val="00143AF1"/>
    <w:rsid w:val="001559E2"/>
    <w:rsid w:val="0016383E"/>
    <w:rsid w:val="00167AFB"/>
    <w:rsid w:val="00177752"/>
    <w:rsid w:val="00180802"/>
    <w:rsid w:val="00187E4D"/>
    <w:rsid w:val="00192602"/>
    <w:rsid w:val="001A53AA"/>
    <w:rsid w:val="0023790D"/>
    <w:rsid w:val="00245315"/>
    <w:rsid w:val="00246421"/>
    <w:rsid w:val="002544FB"/>
    <w:rsid w:val="002F3F8A"/>
    <w:rsid w:val="00307646"/>
    <w:rsid w:val="003A65DF"/>
    <w:rsid w:val="003C2D6A"/>
    <w:rsid w:val="003D66F3"/>
    <w:rsid w:val="003F4114"/>
    <w:rsid w:val="00456D0C"/>
    <w:rsid w:val="004647B7"/>
    <w:rsid w:val="00477FAB"/>
    <w:rsid w:val="004A2DA1"/>
    <w:rsid w:val="004B2E3C"/>
    <w:rsid w:val="004D739D"/>
    <w:rsid w:val="004E4F5B"/>
    <w:rsid w:val="0051682E"/>
    <w:rsid w:val="005238A5"/>
    <w:rsid w:val="00532F1B"/>
    <w:rsid w:val="00613703"/>
    <w:rsid w:val="00633A23"/>
    <w:rsid w:val="00666D3A"/>
    <w:rsid w:val="0067164D"/>
    <w:rsid w:val="0069634D"/>
    <w:rsid w:val="006A244C"/>
    <w:rsid w:val="006B49C3"/>
    <w:rsid w:val="006D0C45"/>
    <w:rsid w:val="006F556C"/>
    <w:rsid w:val="00736F10"/>
    <w:rsid w:val="0074397A"/>
    <w:rsid w:val="0078617F"/>
    <w:rsid w:val="007A5CF0"/>
    <w:rsid w:val="007D1606"/>
    <w:rsid w:val="00832960"/>
    <w:rsid w:val="00836D12"/>
    <w:rsid w:val="00852F5A"/>
    <w:rsid w:val="00866F5D"/>
    <w:rsid w:val="008678FD"/>
    <w:rsid w:val="008707D9"/>
    <w:rsid w:val="008760AC"/>
    <w:rsid w:val="0088111A"/>
    <w:rsid w:val="00884330"/>
    <w:rsid w:val="008B5EFC"/>
    <w:rsid w:val="008C790E"/>
    <w:rsid w:val="008E738E"/>
    <w:rsid w:val="00904C55"/>
    <w:rsid w:val="00905C53"/>
    <w:rsid w:val="00963040"/>
    <w:rsid w:val="009743AA"/>
    <w:rsid w:val="009C0397"/>
    <w:rsid w:val="009E0830"/>
    <w:rsid w:val="00A45D8E"/>
    <w:rsid w:val="00A52973"/>
    <w:rsid w:val="00A92F68"/>
    <w:rsid w:val="00A9399A"/>
    <w:rsid w:val="00AA6A79"/>
    <w:rsid w:val="00AD77B5"/>
    <w:rsid w:val="00B02222"/>
    <w:rsid w:val="00B20618"/>
    <w:rsid w:val="00B210FA"/>
    <w:rsid w:val="00B37608"/>
    <w:rsid w:val="00B41B74"/>
    <w:rsid w:val="00B5099B"/>
    <w:rsid w:val="00B51ED9"/>
    <w:rsid w:val="00B556FA"/>
    <w:rsid w:val="00B80282"/>
    <w:rsid w:val="00B8747E"/>
    <w:rsid w:val="00B87FE7"/>
    <w:rsid w:val="00B9581B"/>
    <w:rsid w:val="00BE531C"/>
    <w:rsid w:val="00BE6212"/>
    <w:rsid w:val="00C45A30"/>
    <w:rsid w:val="00C47502"/>
    <w:rsid w:val="00C6485B"/>
    <w:rsid w:val="00C87DCF"/>
    <w:rsid w:val="00D14F69"/>
    <w:rsid w:val="00D612AD"/>
    <w:rsid w:val="00D75085"/>
    <w:rsid w:val="00DB1C4B"/>
    <w:rsid w:val="00DB7430"/>
    <w:rsid w:val="00DB798A"/>
    <w:rsid w:val="00DD058E"/>
    <w:rsid w:val="00DF69E2"/>
    <w:rsid w:val="00E05FB6"/>
    <w:rsid w:val="00E2509D"/>
    <w:rsid w:val="00E26BDE"/>
    <w:rsid w:val="00E3599B"/>
    <w:rsid w:val="00E52132"/>
    <w:rsid w:val="00E7110E"/>
    <w:rsid w:val="00E87E72"/>
    <w:rsid w:val="00E9071F"/>
    <w:rsid w:val="00E91BAD"/>
    <w:rsid w:val="00EA27EE"/>
    <w:rsid w:val="00EA7F0A"/>
    <w:rsid w:val="00EB1753"/>
    <w:rsid w:val="00EB5641"/>
    <w:rsid w:val="00EC41D1"/>
    <w:rsid w:val="00EF2F3B"/>
    <w:rsid w:val="00F05A89"/>
    <w:rsid w:val="00F15FDA"/>
    <w:rsid w:val="00F20B33"/>
    <w:rsid w:val="00F3385D"/>
    <w:rsid w:val="00F407BF"/>
    <w:rsid w:val="00F4284B"/>
    <w:rsid w:val="00F50DA0"/>
    <w:rsid w:val="00F53371"/>
    <w:rsid w:val="00F8378C"/>
    <w:rsid w:val="00F91D8B"/>
    <w:rsid w:val="00F93E1A"/>
    <w:rsid w:val="00FA7B7D"/>
    <w:rsid w:val="00FD29CD"/>
    <w:rsid w:val="00FE1478"/>
    <w:rsid w:val="00FE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DD058E"/>
    <w:rPr>
      <w:color w:val="0563C1" w:themeColor="hyperlink"/>
      <w:u w:val="single"/>
    </w:rPr>
  </w:style>
  <w:style w:type="table" w:styleId="TableGrid">
    <w:name w:val="Table Grid"/>
    <w:basedOn w:val="TableNormal"/>
    <w:uiPriority w:val="59"/>
    <w:rsid w:val="00F3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00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722118">
      <w:bodyDiv w:val="1"/>
      <w:marLeft w:val="0"/>
      <w:marRight w:val="0"/>
      <w:marTop w:val="0"/>
      <w:marBottom w:val="0"/>
      <w:divBdr>
        <w:top w:val="none" w:sz="0" w:space="0" w:color="auto"/>
        <w:left w:val="none" w:sz="0" w:space="0" w:color="auto"/>
        <w:bottom w:val="none" w:sz="0" w:space="0" w:color="auto"/>
        <w:right w:val="none" w:sz="0" w:space="0" w:color="auto"/>
      </w:divBdr>
    </w:div>
    <w:div w:id="6751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spsjl\Downloads\leachs@gwu.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21hsISqesmw&amp;feature=youtu.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GtSdW7Y2d9g&amp;feature=youtu.be" TargetMode="External"/><Relationship Id="rId4" Type="http://schemas.openxmlformats.org/officeDocument/2006/relationships/settings" Target="settings.xml"/><Relationship Id="rId9" Type="http://schemas.openxmlformats.org/officeDocument/2006/relationships/hyperlink" Target="mailto:eruckert@gw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4275F-4AC7-45AD-8ACB-298615F5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2016-03-10T21:27:00Z</dcterms:created>
  <dcterms:modified xsi:type="dcterms:W3CDTF">2016-06-30T17:07:00Z</dcterms:modified>
</cp:coreProperties>
</file>